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10" w:type="dxa"/>
        <w:jc w:val="center"/>
        <w:tblLayout w:type="fixed"/>
        <w:tblCellMar>
          <w:top w:w="15" w:type="dxa"/>
          <w:left w:w="15" w:type="dxa"/>
          <w:bottom w:w="15" w:type="dxa"/>
          <w:right w:w="15" w:type="dxa"/>
        </w:tblCellMar>
      </w:tblPr>
      <w:tblGrid>
        <w:gridCol w:w="9610"/>
      </w:tblGrid>
      <w:tr w14:paraId="2780C885">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1571B416">
            <w:pPr>
              <w:widowControl/>
              <w:spacing w:line="360" w:lineRule="auto"/>
              <w:jc w:val="center"/>
              <w:rPr>
                <w:rFonts w:hint="eastAsia" w:ascii="宋体" w:hAnsi="宋体" w:eastAsia="宋体" w:cs="宋体"/>
                <w:b/>
                <w:color w:val="auto"/>
                <w:kern w:val="0"/>
                <w:sz w:val="28"/>
                <w:szCs w:val="28"/>
                <w:highlight w:val="none"/>
                <w:lang w:eastAsia="zh-CN" w:bidi="ar"/>
              </w:rPr>
            </w:pPr>
            <w:r>
              <w:rPr>
                <w:rFonts w:hint="eastAsia" w:ascii="宋体" w:hAnsi="宋体" w:cs="宋体"/>
                <w:b/>
                <w:color w:val="auto"/>
                <w:kern w:val="0"/>
                <w:sz w:val="28"/>
                <w:szCs w:val="28"/>
                <w:highlight w:val="none"/>
                <w:lang w:eastAsia="zh-CN" w:bidi="ar"/>
              </w:rPr>
              <w:t>嘉兴市市区快速路环线工程（三期二阶段）红线外绿化恢复设计</w:t>
            </w:r>
          </w:p>
          <w:p w14:paraId="02B763A4">
            <w:pPr>
              <w:widowControl/>
              <w:spacing w:line="360" w:lineRule="auto"/>
              <w:jc w:val="center"/>
              <w:rPr>
                <w:rFonts w:ascii="宋体" w:hAnsi="宋体" w:cs="宋体"/>
                <w:b/>
                <w:color w:val="auto"/>
                <w:sz w:val="28"/>
                <w:szCs w:val="28"/>
                <w:highlight w:val="none"/>
              </w:rPr>
            </w:pPr>
            <w:r>
              <w:rPr>
                <w:rFonts w:hint="eastAsia" w:ascii="宋体" w:hAnsi="宋体" w:cs="宋体"/>
                <w:b/>
                <w:color w:val="auto"/>
                <w:kern w:val="0"/>
                <w:sz w:val="28"/>
                <w:szCs w:val="28"/>
                <w:highlight w:val="none"/>
                <w:lang w:bidi="ar"/>
              </w:rPr>
              <w:t>招标公告</w:t>
            </w:r>
          </w:p>
        </w:tc>
      </w:tr>
      <w:tr w14:paraId="6E6AF751">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41E138AF">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1. 招标条件</w:t>
            </w:r>
          </w:p>
        </w:tc>
      </w:tr>
      <w:tr w14:paraId="038144EA">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207A8B55">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    本招标项目</w:t>
            </w:r>
            <w:r>
              <w:rPr>
                <w:rFonts w:hint="eastAsia" w:ascii="宋体" w:hAnsi="宋体" w:cs="宋体"/>
                <w:color w:val="auto"/>
                <w:kern w:val="0"/>
                <w:szCs w:val="21"/>
                <w:highlight w:val="none"/>
                <w:u w:val="single"/>
                <w:lang w:eastAsia="zh-CN" w:bidi="ar"/>
              </w:rPr>
              <w:t>嘉兴市市区快速路环线工程（三期二阶段）</w:t>
            </w:r>
            <w:r>
              <w:rPr>
                <w:rFonts w:hint="eastAsia" w:ascii="宋体" w:hAnsi="宋体" w:cs="宋体"/>
                <w:color w:val="auto"/>
                <w:kern w:val="0"/>
                <w:szCs w:val="21"/>
                <w:highlight w:val="none"/>
                <w:lang w:bidi="ar"/>
              </w:rPr>
              <w:t xml:space="preserve">（项目名称）；已由 </w:t>
            </w:r>
            <w:r>
              <w:rPr>
                <w:rFonts w:hint="eastAsia" w:ascii="宋体" w:hAnsi="宋体" w:cs="宋体"/>
                <w:color w:val="auto"/>
                <w:kern w:val="0"/>
                <w:szCs w:val="21"/>
                <w:highlight w:val="none"/>
                <w:u w:val="single"/>
                <w:lang w:bidi="ar"/>
              </w:rPr>
              <w:t>嘉兴市发展和改革委员会</w:t>
            </w:r>
            <w:r>
              <w:rPr>
                <w:rFonts w:hint="eastAsia" w:ascii="宋体" w:hAnsi="宋体" w:cs="宋体"/>
                <w:color w:val="auto"/>
                <w:kern w:val="0"/>
                <w:szCs w:val="21"/>
                <w:highlight w:val="none"/>
                <w:lang w:bidi="ar"/>
              </w:rPr>
              <w:t xml:space="preserve"> （项目审批、核准或备案机关名称）以</w:t>
            </w:r>
            <w:r>
              <w:rPr>
                <w:rFonts w:hint="eastAsia" w:ascii="宋体" w:hAnsi="宋体" w:cs="宋体"/>
                <w:color w:val="auto"/>
                <w:kern w:val="0"/>
                <w:szCs w:val="21"/>
                <w:highlight w:val="none"/>
                <w:u w:val="single"/>
                <w:lang w:eastAsia="zh-CN" w:bidi="ar"/>
              </w:rPr>
              <w:t>嘉发改项〔2023〕19号</w:t>
            </w:r>
            <w:r>
              <w:rPr>
                <w:rFonts w:hint="eastAsia" w:ascii="宋体" w:hAnsi="宋体" w:cs="宋体"/>
                <w:color w:val="auto"/>
                <w:kern w:val="0"/>
                <w:szCs w:val="21"/>
                <w:highlight w:val="none"/>
                <w:lang w:bidi="ar"/>
              </w:rPr>
              <w:t>（批文名称及编号）批准建设，建设资金来自</w:t>
            </w:r>
            <w:r>
              <w:rPr>
                <w:rFonts w:hint="eastAsia" w:ascii="宋体" w:hAnsi="宋体" w:cs="宋体"/>
                <w:color w:val="auto"/>
                <w:kern w:val="0"/>
                <w:szCs w:val="21"/>
                <w:highlight w:val="none"/>
                <w:u w:val="single"/>
                <w:lang w:bidi="ar"/>
              </w:rPr>
              <w:t>财政</w:t>
            </w:r>
            <w:r>
              <w:rPr>
                <w:rFonts w:hint="eastAsia" w:ascii="宋体" w:hAnsi="宋体" w:cs="宋体"/>
                <w:color w:val="auto"/>
                <w:kern w:val="0"/>
                <w:szCs w:val="21"/>
                <w:highlight w:val="none"/>
                <w:lang w:bidi="ar"/>
              </w:rPr>
              <w:t xml:space="preserve"> （资金来源），招标人为</w:t>
            </w:r>
            <w:r>
              <w:rPr>
                <w:rFonts w:hint="eastAsia" w:ascii="宋体" w:hAnsi="宋体" w:cs="宋体"/>
                <w:color w:val="auto"/>
                <w:kern w:val="0"/>
                <w:szCs w:val="21"/>
                <w:highlight w:val="none"/>
                <w:u w:val="single"/>
                <w:lang w:bidi="ar"/>
              </w:rPr>
              <w:t>嘉兴市快速路建设发展有限公司</w:t>
            </w:r>
            <w:r>
              <w:rPr>
                <w:rFonts w:hint="eastAsia" w:ascii="宋体" w:hAnsi="宋体" w:cs="宋体"/>
                <w:color w:val="auto"/>
                <w:kern w:val="0"/>
                <w:szCs w:val="21"/>
                <w:highlight w:val="none"/>
                <w:lang w:bidi="ar"/>
              </w:rPr>
              <w:t>。本项目招标代理为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eastAsia="zh-CN" w:bidi="ar"/>
              </w:rPr>
              <w:t>浙江同欣工程管理有限公司</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。项目已具备招标条件，现对该项目</w:t>
            </w:r>
            <w:r>
              <w:rPr>
                <w:rFonts w:hint="eastAsia" w:ascii="宋体" w:hAnsi="宋体" w:cs="宋体"/>
                <w:color w:val="auto"/>
                <w:kern w:val="0"/>
                <w:szCs w:val="21"/>
                <w:highlight w:val="none"/>
                <w:lang w:val="en-US" w:eastAsia="zh-CN" w:bidi="ar"/>
              </w:rPr>
              <w:t>红线外绿化恢复设计</w:t>
            </w:r>
            <w:r>
              <w:rPr>
                <w:rFonts w:hint="eastAsia" w:ascii="宋体" w:hAnsi="宋体" w:cs="宋体"/>
                <w:color w:val="auto"/>
                <w:kern w:val="0"/>
                <w:szCs w:val="21"/>
                <w:highlight w:val="none"/>
                <w:lang w:bidi="ar"/>
              </w:rPr>
              <w:t xml:space="preserve">进行公开招标。 </w:t>
            </w:r>
          </w:p>
        </w:tc>
      </w:tr>
      <w:tr w14:paraId="6597418D">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631CDA10">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2. 项目概况与招标范围</w:t>
            </w:r>
          </w:p>
        </w:tc>
      </w:tr>
      <w:tr w14:paraId="4D34F638">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3A70F64C">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2.1 建设地点：</w:t>
            </w:r>
            <w:r>
              <w:rPr>
                <w:rFonts w:hint="eastAsia" w:ascii="宋体" w:hAnsi="宋体" w:cs="宋体"/>
                <w:color w:val="auto"/>
                <w:kern w:val="0"/>
                <w:szCs w:val="21"/>
                <w:highlight w:val="none"/>
                <w:u w:val="single"/>
                <w:lang w:bidi="ar"/>
              </w:rPr>
              <w:t>嘉兴市</w:t>
            </w:r>
            <w:r>
              <w:rPr>
                <w:rFonts w:hint="eastAsia" w:ascii="宋体" w:hAnsi="宋体" w:cs="宋体"/>
                <w:color w:val="auto"/>
                <w:kern w:val="0"/>
                <w:szCs w:val="21"/>
                <w:highlight w:val="none"/>
                <w:lang w:bidi="ar"/>
              </w:rPr>
              <w:t xml:space="preserve"> </w:t>
            </w:r>
          </w:p>
          <w:p w14:paraId="214AE96A">
            <w:pPr>
              <w:widowControl/>
              <w:spacing w:line="500" w:lineRule="exact"/>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2.2 建筑规模：</w:t>
            </w:r>
            <w:bookmarkStart w:id="0" w:name="_Hlk155776317"/>
            <w:bookmarkStart w:id="1" w:name="_Hlk143876717"/>
            <w:r>
              <w:rPr>
                <w:rFonts w:hint="eastAsia" w:ascii="宋体" w:hAnsi="宋体" w:cs="宋体"/>
                <w:color w:val="auto"/>
                <w:kern w:val="0"/>
                <w:szCs w:val="21"/>
                <w:highlight w:val="none"/>
                <w:lang w:val="en-US" w:eastAsia="zh-CN" w:bidi="ar"/>
              </w:rPr>
              <w:t>三期二阶段工程实施范围为:主线中环北路城东路口至三环东路广益路口（K21+345-K28+489；K0+000-K0+505）及地面辅道三环东路公铁立交南侧至广益路（K23+475-K28+489；K0+000-K0+063），同步改造实施茶园路约350米。</w:t>
            </w:r>
          </w:p>
          <w:p w14:paraId="21A5C7E9">
            <w:pPr>
              <w:widowControl/>
              <w:spacing w:line="500" w:lineRule="exact"/>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本工程需对嘉兴市市区快速路环线工程（三期二阶段）红线外沿线的绿化、绿道等进行重新恢复设计，绿化恢复总面积约241392平方米，施工费用约1500万元，本项目招标估算价：40万元</w:t>
            </w:r>
            <w:bookmarkEnd w:id="0"/>
            <w:bookmarkEnd w:id="1"/>
            <w:r>
              <w:rPr>
                <w:rFonts w:hint="eastAsia" w:ascii="宋体" w:hAnsi="宋体" w:cs="宋体"/>
                <w:color w:val="auto"/>
                <w:kern w:val="0"/>
                <w:szCs w:val="21"/>
                <w:highlight w:val="none"/>
                <w:lang w:eastAsia="zh-CN" w:bidi="ar"/>
              </w:rPr>
              <w:t>。</w:t>
            </w:r>
          </w:p>
          <w:p w14:paraId="31D3B389">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招标范围：恢复范围现场勘测、方案设计、施工图设计、设计调整、相关评审、报批等工作以及验收配合等。</w:t>
            </w:r>
          </w:p>
          <w:p w14:paraId="12503910">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本项目设一个合同段。</w:t>
            </w:r>
          </w:p>
          <w:p w14:paraId="3C02873D">
            <w:pPr>
              <w:spacing w:line="500" w:lineRule="exact"/>
              <w:rPr>
                <w:rFonts w:ascii="宋体" w:hAnsi="宋体"/>
                <w:color w:val="auto"/>
                <w:szCs w:val="21"/>
                <w:highlight w:val="none"/>
              </w:rPr>
            </w:pPr>
            <w:r>
              <w:rPr>
                <w:rFonts w:hint="eastAsia" w:ascii="宋体" w:hAnsi="宋体" w:cs="宋体"/>
                <w:color w:val="auto"/>
                <w:kern w:val="0"/>
                <w:szCs w:val="21"/>
                <w:highlight w:val="none"/>
                <w:lang w:bidi="ar"/>
              </w:rPr>
              <w:t>2.4 工期要求：</w:t>
            </w:r>
            <w:r>
              <w:rPr>
                <w:rFonts w:hint="eastAsia" w:ascii="宋体" w:hAnsi="宋体"/>
                <w:color w:val="auto"/>
                <w:szCs w:val="21"/>
                <w:highlight w:val="none"/>
              </w:rPr>
              <w:t>（1）中标通知书发出后</w:t>
            </w:r>
            <w:r>
              <w:rPr>
                <w:rFonts w:hint="eastAsia" w:ascii="宋体" w:hAnsi="宋体"/>
                <w:color w:val="auto"/>
                <w:szCs w:val="21"/>
                <w:highlight w:val="none"/>
                <w:lang w:val="en-US" w:eastAsia="zh-CN"/>
              </w:rPr>
              <w:t>30</w:t>
            </w:r>
            <w:r>
              <w:rPr>
                <w:rFonts w:hint="eastAsia" w:ascii="宋体" w:hAnsi="宋体"/>
                <w:color w:val="auto"/>
                <w:szCs w:val="21"/>
                <w:highlight w:val="none"/>
              </w:rPr>
              <w:t>天内提交方案设计送审稿。</w:t>
            </w:r>
          </w:p>
          <w:p w14:paraId="0DF99E7B">
            <w:pPr>
              <w:spacing w:line="500" w:lineRule="exact"/>
              <w:rPr>
                <w:rFonts w:ascii="宋体" w:hAnsi="宋体"/>
                <w:color w:val="auto"/>
                <w:szCs w:val="21"/>
                <w:highlight w:val="none"/>
              </w:rPr>
            </w:pPr>
            <w:r>
              <w:rPr>
                <w:rFonts w:hint="eastAsia" w:ascii="宋体" w:hAnsi="宋体"/>
                <w:color w:val="auto"/>
                <w:szCs w:val="21"/>
                <w:highlight w:val="none"/>
              </w:rPr>
              <w:t>（2）方案设计通过审查后</w:t>
            </w:r>
            <w:r>
              <w:rPr>
                <w:rFonts w:hint="eastAsia" w:ascii="宋体" w:hAnsi="宋体"/>
                <w:color w:val="auto"/>
                <w:szCs w:val="21"/>
                <w:highlight w:val="none"/>
                <w:lang w:val="en-US" w:eastAsia="zh-CN"/>
              </w:rPr>
              <w:t>30</w:t>
            </w:r>
            <w:r>
              <w:rPr>
                <w:rFonts w:hint="eastAsia" w:ascii="宋体" w:hAnsi="宋体"/>
                <w:color w:val="auto"/>
                <w:szCs w:val="21"/>
                <w:highlight w:val="none"/>
              </w:rPr>
              <w:t>天内提供施工图设计送审稿。</w:t>
            </w:r>
          </w:p>
          <w:p w14:paraId="395623A0">
            <w:pPr>
              <w:spacing w:line="500" w:lineRule="exact"/>
              <w:rPr>
                <w:rFonts w:ascii="宋体" w:hAnsi="宋体" w:cs="宋体"/>
                <w:color w:val="auto"/>
                <w:kern w:val="0"/>
                <w:szCs w:val="21"/>
                <w:highlight w:val="none"/>
                <w:lang w:bidi="ar"/>
              </w:rPr>
            </w:pPr>
            <w:r>
              <w:rPr>
                <w:rFonts w:hint="eastAsia" w:ascii="宋体" w:hAnsi="宋体"/>
                <w:color w:val="auto"/>
                <w:szCs w:val="21"/>
                <w:highlight w:val="none"/>
              </w:rPr>
              <w:t>（3）服务期：从项目设计合同签订至项目通过</w:t>
            </w:r>
            <w:r>
              <w:rPr>
                <w:rFonts w:hint="eastAsia" w:ascii="宋体" w:hAnsi="宋体"/>
                <w:color w:val="auto"/>
                <w:szCs w:val="21"/>
                <w:highlight w:val="none"/>
                <w:lang w:val="en-US" w:eastAsia="zh-CN"/>
              </w:rPr>
              <w:t>竣工</w:t>
            </w:r>
            <w:r>
              <w:rPr>
                <w:rFonts w:hint="eastAsia" w:ascii="宋体" w:hAnsi="宋体"/>
                <w:color w:val="auto"/>
                <w:szCs w:val="21"/>
                <w:highlight w:val="none"/>
              </w:rPr>
              <w:t>验收止。</w:t>
            </w:r>
          </w:p>
          <w:p w14:paraId="07EA68A6">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2.5 质量目标：符合设计及现行规范要求。</w:t>
            </w:r>
          </w:p>
          <w:p w14:paraId="106063E6">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2.6 标段划分：</w:t>
            </w:r>
            <w:r>
              <w:rPr>
                <w:rFonts w:hint="eastAsia" w:ascii="宋体" w:hAnsi="宋体" w:cs="宋体"/>
                <w:color w:val="auto"/>
                <w:kern w:val="0"/>
                <w:szCs w:val="21"/>
                <w:highlight w:val="none"/>
                <w:u w:val="single"/>
                <w:lang w:bidi="ar"/>
              </w:rPr>
              <w:t>1</w:t>
            </w:r>
            <w:r>
              <w:rPr>
                <w:rFonts w:hint="eastAsia" w:ascii="宋体" w:hAnsi="宋体" w:cs="宋体"/>
                <w:color w:val="auto"/>
                <w:kern w:val="0"/>
                <w:szCs w:val="21"/>
                <w:highlight w:val="none"/>
                <w:lang w:bidi="ar"/>
              </w:rPr>
              <w:t xml:space="preserve"> </w:t>
            </w:r>
          </w:p>
        </w:tc>
      </w:tr>
      <w:tr w14:paraId="6F1492C3">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center"/>
          </w:tcPr>
          <w:p w14:paraId="234B4399">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3. 投标人资格要求</w:t>
            </w:r>
          </w:p>
        </w:tc>
      </w:tr>
      <w:tr w14:paraId="4DF9ABB3">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center"/>
          </w:tcPr>
          <w:p w14:paraId="1F97B27A">
            <w:pPr>
              <w:widowControl/>
              <w:spacing w:line="500" w:lineRule="exact"/>
              <w:jc w:val="left"/>
              <w:rPr>
                <w:rFonts w:ascii="宋体" w:hAnsi="宋体" w:cs="宋体"/>
                <w:color w:val="auto"/>
                <w:kern w:val="0"/>
                <w:szCs w:val="21"/>
                <w:highlight w:val="none"/>
                <w:u w:val="single"/>
                <w:lang w:bidi="ar"/>
              </w:rPr>
            </w:pPr>
            <w:r>
              <w:rPr>
                <w:rFonts w:hint="eastAsia" w:ascii="宋体" w:hAnsi="宋体" w:cs="宋体"/>
                <w:color w:val="auto"/>
                <w:kern w:val="0"/>
                <w:szCs w:val="21"/>
                <w:highlight w:val="none"/>
                <w:lang w:bidi="ar"/>
              </w:rPr>
              <w:t>3.1 投标人资质类别和等级：</w:t>
            </w:r>
            <w:r>
              <w:rPr>
                <w:rFonts w:hint="eastAsia" w:ascii="宋体" w:hAnsi="宋体" w:cs="宋体"/>
                <w:color w:val="auto"/>
                <w:kern w:val="0"/>
                <w:szCs w:val="21"/>
                <w:highlight w:val="none"/>
                <w:u w:val="single"/>
                <w:lang w:bidi="ar"/>
              </w:rPr>
              <w:t>投标人须具备</w:t>
            </w:r>
            <w:r>
              <w:rPr>
                <w:rFonts w:hint="eastAsia" w:ascii="宋体" w:hAnsi="宋体" w:cs="宋体"/>
                <w:color w:val="auto"/>
                <w:kern w:val="0"/>
                <w:szCs w:val="21"/>
                <w:highlight w:val="none"/>
                <w:u w:val="single"/>
                <w:lang w:val="en-US" w:eastAsia="zh-CN" w:bidi="ar"/>
              </w:rPr>
              <w:t>独立法人资格、</w:t>
            </w:r>
            <w:r>
              <w:rPr>
                <w:rFonts w:hint="eastAsia" w:ascii="宋体" w:hAnsi="宋体" w:cs="宋体"/>
                <w:color w:val="auto"/>
                <w:kern w:val="0"/>
                <w:szCs w:val="21"/>
                <w:highlight w:val="none"/>
                <w:u w:val="single"/>
                <w:lang w:bidi="ar"/>
              </w:rPr>
              <w:t>具有工程设计综合资质或风景园林工程设计专项乙级及以上资质。</w:t>
            </w:r>
          </w:p>
          <w:p w14:paraId="39D58313">
            <w:pPr>
              <w:widowControl/>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3.2 拟派项目负责人资质类别和等级：</w:t>
            </w:r>
            <w:r>
              <w:rPr>
                <w:rFonts w:hint="eastAsia" w:ascii="宋体" w:hAnsi="宋体" w:cs="宋体"/>
                <w:color w:val="auto"/>
                <w:kern w:val="0"/>
                <w:szCs w:val="21"/>
                <w:highlight w:val="none"/>
                <w:u w:val="single"/>
                <w:lang w:bidi="ar"/>
              </w:rPr>
              <w:t>具有</w:t>
            </w:r>
            <w:r>
              <w:rPr>
                <w:rFonts w:hint="eastAsia" w:ascii="宋体" w:hAnsi="宋体" w:cs="宋体"/>
                <w:color w:val="auto"/>
                <w:kern w:val="0"/>
                <w:szCs w:val="21"/>
                <w:highlight w:val="none"/>
                <w:u w:val="single"/>
                <w:lang w:val="en-US" w:eastAsia="zh-CN" w:bidi="ar"/>
              </w:rPr>
              <w:t>高级</w:t>
            </w:r>
            <w:r>
              <w:rPr>
                <w:rFonts w:hint="eastAsia" w:ascii="宋体" w:hAnsi="宋体" w:cs="宋体"/>
                <w:color w:val="auto"/>
                <w:kern w:val="0"/>
                <w:szCs w:val="21"/>
                <w:highlight w:val="none"/>
                <w:u w:val="single"/>
                <w:lang w:bidi="ar"/>
              </w:rPr>
              <w:t>工程师及以上(园林绿化相关专业)技术职称</w:t>
            </w:r>
            <w:r>
              <w:rPr>
                <w:rFonts w:hint="eastAsia" w:ascii="宋体" w:hAnsi="宋体" w:eastAsia="宋体" w:cs="宋体"/>
                <w:color w:val="auto"/>
                <w:kern w:val="0"/>
                <w:szCs w:val="21"/>
                <w:highlight w:val="none"/>
                <w:u w:val="single"/>
                <w:lang w:eastAsia="zh-CN" w:bidi="ar"/>
              </w:rPr>
              <w:t>，提供自20</w:t>
            </w:r>
            <w:r>
              <w:rPr>
                <w:rFonts w:hint="eastAsia" w:ascii="宋体" w:hAnsi="宋体" w:eastAsia="宋体" w:cs="宋体"/>
                <w:color w:val="auto"/>
                <w:kern w:val="0"/>
                <w:szCs w:val="21"/>
                <w:highlight w:val="none"/>
                <w:u w:val="single"/>
                <w:lang w:val="en-US" w:eastAsia="zh-CN" w:bidi="ar"/>
              </w:rPr>
              <w:t>25</w:t>
            </w:r>
            <w:r>
              <w:rPr>
                <w:rFonts w:hint="eastAsia" w:ascii="宋体" w:hAnsi="宋体" w:eastAsia="宋体" w:cs="宋体"/>
                <w:color w:val="auto"/>
                <w:kern w:val="0"/>
                <w:szCs w:val="21"/>
                <w:highlight w:val="none"/>
                <w:u w:val="single"/>
                <w:lang w:eastAsia="zh-CN" w:bidi="ar"/>
              </w:rPr>
              <w:t>年</w:t>
            </w:r>
            <w:r>
              <w:rPr>
                <w:rFonts w:hint="eastAsia" w:ascii="宋体" w:hAnsi="宋体" w:eastAsia="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eastAsia="zh-CN" w:bidi="ar"/>
              </w:rPr>
              <w:t>月 1日之后社保部门出具盖章的项目负责人社保参保</w:t>
            </w:r>
            <w:r>
              <w:rPr>
                <w:rFonts w:hint="eastAsia" w:ascii="宋体" w:hAnsi="宋体" w:eastAsia="宋体" w:cs="宋体"/>
                <w:color w:val="auto"/>
                <w:kern w:val="0"/>
                <w:szCs w:val="21"/>
                <w:highlight w:val="none"/>
                <w:u w:val="single"/>
                <w:lang w:val="en-US" w:eastAsia="zh-CN" w:bidi="ar"/>
              </w:rPr>
              <w:t>本单位</w:t>
            </w:r>
            <w:r>
              <w:rPr>
                <w:rFonts w:hint="eastAsia" w:ascii="宋体" w:hAnsi="宋体" w:eastAsia="宋体" w:cs="宋体"/>
                <w:color w:val="auto"/>
                <w:kern w:val="0"/>
                <w:szCs w:val="21"/>
                <w:highlight w:val="none"/>
                <w:u w:val="single"/>
                <w:lang w:eastAsia="zh-CN" w:bidi="ar"/>
              </w:rPr>
              <w:t>证明原件（网上自助打印的含有社保部门电子印章件视为原件）或复印件加盖投标人单位公章。</w:t>
            </w:r>
          </w:p>
          <w:p w14:paraId="143116EA">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3.3 本次招标 </w:t>
            </w:r>
            <w:r>
              <w:rPr>
                <w:rFonts w:hint="eastAsia" w:ascii="宋体" w:hAnsi="宋体" w:cs="宋体"/>
                <w:color w:val="auto"/>
                <w:kern w:val="0"/>
                <w:szCs w:val="21"/>
                <w:highlight w:val="none"/>
                <w:u w:val="single"/>
                <w:lang w:bidi="ar"/>
              </w:rPr>
              <w:t>不接受</w:t>
            </w:r>
            <w:r>
              <w:rPr>
                <w:rFonts w:hint="eastAsia" w:ascii="宋体" w:hAnsi="宋体" w:cs="宋体"/>
                <w:color w:val="auto"/>
                <w:kern w:val="0"/>
                <w:szCs w:val="21"/>
                <w:highlight w:val="none"/>
                <w:lang w:bidi="ar"/>
              </w:rPr>
              <w:t xml:space="preserve">（接受或不接受）联合体投标。联合体投标的，应满足下列要求：/ 。 </w:t>
            </w:r>
          </w:p>
          <w:p w14:paraId="56288A63">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3.4 各投标人均可就上述标段中的</w:t>
            </w:r>
            <w:r>
              <w:rPr>
                <w:rFonts w:hint="eastAsia" w:ascii="宋体" w:hAnsi="宋体" w:cs="宋体"/>
                <w:color w:val="auto"/>
                <w:kern w:val="0"/>
                <w:szCs w:val="21"/>
                <w:highlight w:val="none"/>
                <w:u w:val="single"/>
                <w:lang w:bidi="ar"/>
              </w:rPr>
              <w:t>1</w:t>
            </w:r>
            <w:r>
              <w:rPr>
                <w:rFonts w:hint="eastAsia" w:ascii="宋体" w:hAnsi="宋体" w:cs="宋体"/>
                <w:color w:val="auto"/>
                <w:kern w:val="0"/>
                <w:szCs w:val="21"/>
                <w:highlight w:val="none"/>
                <w:lang w:bidi="ar"/>
              </w:rPr>
              <w:t xml:space="preserve">（具体数量）个标段投标。 </w:t>
            </w:r>
          </w:p>
          <w:p w14:paraId="1755FADD">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3.5 投标保证金：</w:t>
            </w:r>
            <w:r>
              <w:rPr>
                <w:rFonts w:hint="eastAsia" w:ascii="宋体" w:hAnsi="宋体" w:cs="宋体"/>
                <w:color w:val="auto"/>
                <w:kern w:val="0"/>
                <w:szCs w:val="21"/>
                <w:highlight w:val="none"/>
                <w:u w:val="single"/>
                <w:lang w:bidi="ar"/>
              </w:rPr>
              <w:t>不提供。</w:t>
            </w:r>
          </w:p>
          <w:p w14:paraId="7A525C04">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3.6 其他条件：</w:t>
            </w:r>
          </w:p>
          <w:p w14:paraId="64B46CF7">
            <w:pPr>
              <w:widowControl/>
              <w:spacing w:line="500" w:lineRule="exact"/>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（1）投标人未被“信用中国”网站（http://www.creditchina.gov.cn）和“信用中国（浙江）”网站（http://credit.zj.gov.cn）列入严重违法失信行为记录“黑名单”；</w:t>
            </w:r>
          </w:p>
          <w:p w14:paraId="57125CB8">
            <w:pPr>
              <w:widowControl/>
              <w:spacing w:line="500" w:lineRule="exact"/>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2）省外企业备案相关手续按嘉建（2015）1号文件规定执行；</w:t>
            </w:r>
          </w:p>
          <w:p w14:paraId="196438F6">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3）与招标人存在利害关系可能影响招标公正性的法人、其他组织或者个人，不得参加投标；单位负责人为同一人或者存在控股、管理关系的不同单位，不得参加同一标段投标，否则涉及的投标人全部按否决投标处理。</w:t>
            </w:r>
          </w:p>
        </w:tc>
      </w:tr>
      <w:tr w14:paraId="05339845">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3020196A">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4. 资格审查方式</w:t>
            </w:r>
          </w:p>
        </w:tc>
      </w:tr>
      <w:tr w14:paraId="4530F627">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241A2AE7">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本工程采用</w:t>
            </w:r>
            <w:r>
              <w:rPr>
                <w:rFonts w:hint="eastAsia" w:ascii="宋体" w:hAnsi="宋体" w:cs="宋体"/>
                <w:color w:val="auto"/>
                <w:kern w:val="0"/>
                <w:szCs w:val="21"/>
                <w:highlight w:val="none"/>
                <w:u w:val="single"/>
                <w:lang w:bidi="ar"/>
              </w:rPr>
              <w:t>资格后审</w:t>
            </w:r>
            <w:r>
              <w:rPr>
                <w:rFonts w:hint="eastAsia" w:ascii="宋体" w:hAnsi="宋体" w:cs="宋体"/>
                <w:color w:val="auto"/>
                <w:kern w:val="0"/>
                <w:szCs w:val="21"/>
                <w:highlight w:val="none"/>
                <w:lang w:bidi="ar"/>
              </w:rPr>
              <w:t>确定合格投标人；评标方法：</w:t>
            </w:r>
            <w:r>
              <w:rPr>
                <w:rFonts w:hint="eastAsia" w:ascii="宋体" w:hAnsi="宋体" w:cs="宋体"/>
                <w:color w:val="auto"/>
                <w:kern w:val="0"/>
                <w:szCs w:val="21"/>
                <w:highlight w:val="none"/>
                <w:u w:val="single"/>
                <w:lang w:bidi="ar"/>
              </w:rPr>
              <w:t>综合评分法</w:t>
            </w:r>
            <w:r>
              <w:rPr>
                <w:rFonts w:hint="eastAsia" w:ascii="宋体" w:hAnsi="宋体" w:cs="宋体"/>
                <w:color w:val="auto"/>
                <w:kern w:val="0"/>
                <w:szCs w:val="21"/>
                <w:highlight w:val="none"/>
                <w:lang w:bidi="ar"/>
              </w:rPr>
              <w:t xml:space="preserve">。 </w:t>
            </w:r>
          </w:p>
        </w:tc>
      </w:tr>
      <w:tr w14:paraId="1865F22F">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07B6169E">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5. 招标文件的获取</w:t>
            </w:r>
          </w:p>
        </w:tc>
      </w:tr>
      <w:tr w14:paraId="66029CE6">
        <w:tblPrEx>
          <w:tblCellMar>
            <w:top w:w="15" w:type="dxa"/>
            <w:left w:w="15" w:type="dxa"/>
            <w:bottom w:w="15" w:type="dxa"/>
            <w:right w:w="15" w:type="dxa"/>
          </w:tblCellMar>
        </w:tblPrEx>
        <w:trPr>
          <w:trHeight w:val="90" w:hRule="atLeast"/>
          <w:jc w:val="center"/>
        </w:trPr>
        <w:tc>
          <w:tcPr>
            <w:tcW w:w="9610" w:type="dxa"/>
            <w:noWrap w:val="0"/>
            <w:tcMar>
              <w:top w:w="0" w:type="dxa"/>
              <w:left w:w="0" w:type="dxa"/>
              <w:bottom w:w="0" w:type="dxa"/>
              <w:right w:w="0" w:type="dxa"/>
            </w:tcMar>
            <w:vAlign w:val="center"/>
          </w:tcPr>
          <w:p w14:paraId="1180425B">
            <w:pPr>
              <w:widowControl/>
              <w:spacing w:before="68" w:line="500" w:lineRule="exact"/>
              <w:ind w:firstLine="630" w:firstLineChars="3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5.1  招标文件的获取</w:t>
            </w:r>
          </w:p>
          <w:p w14:paraId="35C9FDD3">
            <w:pPr>
              <w:widowControl/>
              <w:spacing w:before="68" w:line="500" w:lineRule="exact"/>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获取招标文件时间：202</w:t>
            </w:r>
            <w:r>
              <w:rPr>
                <w:rFonts w:hint="eastAsia" w:ascii="宋体" w:hAnsi="宋体" w:cs="宋体"/>
                <w:color w:val="auto"/>
                <w:kern w:val="0"/>
                <w:szCs w:val="21"/>
                <w:highlight w:val="none"/>
                <w:lang w:eastAsia="zh-CN" w:bidi="ar"/>
              </w:rPr>
              <w:t>5</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26</w:t>
            </w:r>
            <w:r>
              <w:rPr>
                <w:rFonts w:hint="eastAsia" w:ascii="宋体" w:hAnsi="宋体" w:cs="宋体"/>
                <w:color w:val="auto"/>
                <w:kern w:val="0"/>
                <w:szCs w:val="21"/>
                <w:highlight w:val="none"/>
                <w:lang w:bidi="ar"/>
              </w:rPr>
              <w:t>日起至202</w:t>
            </w:r>
            <w:r>
              <w:rPr>
                <w:rFonts w:hint="eastAsia" w:ascii="宋体" w:hAnsi="宋体" w:cs="宋体"/>
                <w:color w:val="auto"/>
                <w:kern w:val="0"/>
                <w:szCs w:val="21"/>
                <w:highlight w:val="none"/>
                <w:lang w:eastAsia="zh-CN" w:bidi="ar"/>
              </w:rPr>
              <w:t>5</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日09时30分止（</w:t>
            </w:r>
            <w:r>
              <w:rPr>
                <w:rFonts w:hint="eastAsia" w:ascii="宋体" w:hAnsi="宋体" w:cs="宋体"/>
                <w:color w:val="auto"/>
                <w:kern w:val="0"/>
                <w:szCs w:val="21"/>
                <w:highlight w:val="none"/>
                <w:lang w:val="en-US" w:eastAsia="zh-CN" w:bidi="ar"/>
              </w:rPr>
              <w:t>北京</w:t>
            </w:r>
            <w:r>
              <w:rPr>
                <w:rFonts w:hint="eastAsia" w:ascii="宋体" w:hAnsi="宋体" w:cs="宋体"/>
                <w:color w:val="auto"/>
                <w:kern w:val="0"/>
                <w:szCs w:val="21"/>
                <w:highlight w:val="none"/>
                <w:lang w:bidi="ar"/>
              </w:rPr>
              <w:t>时间）；</w:t>
            </w:r>
          </w:p>
          <w:p w14:paraId="5D48B078">
            <w:pPr>
              <w:widowControl/>
              <w:spacing w:before="68" w:line="500" w:lineRule="exact"/>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2获取招标文件方式：本项目招标文件实行“嘉兴禾采联综合采购服务平台”在线获取，不提供招标文件纸质版，请</w:t>
            </w:r>
            <w:r>
              <w:rPr>
                <w:rFonts w:hint="eastAsia" w:ascii="宋体" w:hAnsi="宋体" w:cs="宋体"/>
                <w:color w:val="auto"/>
                <w:kern w:val="0"/>
                <w:szCs w:val="21"/>
                <w:highlight w:val="none"/>
                <w:lang w:eastAsia="zh-CN" w:bidi="ar"/>
              </w:rPr>
              <w:t>登录</w:t>
            </w:r>
            <w:r>
              <w:rPr>
                <w:rFonts w:hint="eastAsia" w:ascii="宋体" w:hAnsi="宋体" w:cs="宋体"/>
                <w:color w:val="auto"/>
                <w:kern w:val="0"/>
                <w:szCs w:val="21"/>
                <w:highlight w:val="none"/>
                <w:lang w:bidi="ar"/>
              </w:rPr>
              <w:t>嘉兴禾采联综合采购服务平台（http://hcl.jxcqgs.cn/）—“供应商登录”，免费注册完成后，下载获取后缀名为“.JXCQZF”的发包文件等。注册咨询、技术服务电话：0573-82813680。</w:t>
            </w:r>
          </w:p>
          <w:p w14:paraId="5C12D78B">
            <w:pPr>
              <w:widowControl/>
              <w:spacing w:before="68" w:line="500" w:lineRule="exact"/>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注：请供应商按上述要求获取招标文件，如未在嘉兴禾采联综合采购服务平台系统内完成相关流程，引起的投标无效责任自担。</w:t>
            </w:r>
          </w:p>
          <w:p w14:paraId="6C339DEF">
            <w:pPr>
              <w:widowControl/>
              <w:spacing w:before="68" w:line="500" w:lineRule="exact"/>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5.1</w:t>
            </w: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获取</w:t>
            </w:r>
            <w:r>
              <w:rPr>
                <w:rFonts w:hint="eastAsia" w:ascii="宋体" w:hAnsi="宋体" w:cs="宋体"/>
                <w:color w:val="auto"/>
                <w:kern w:val="0"/>
                <w:szCs w:val="21"/>
                <w:highlight w:val="none"/>
                <w:lang w:bidi="ar"/>
              </w:rPr>
              <w:t>时间及方式：</w:t>
            </w:r>
            <w:r>
              <w:rPr>
                <w:rFonts w:hint="eastAsia" w:ascii="宋体" w:hAnsi="宋体" w:cs="宋体"/>
                <w:color w:val="auto"/>
                <w:kern w:val="0"/>
                <w:szCs w:val="21"/>
                <w:highlight w:val="none"/>
                <w:lang w:val="en-US" w:eastAsia="zh-CN" w:bidi="ar"/>
              </w:rPr>
              <w:t>获取</w:t>
            </w:r>
            <w:r>
              <w:rPr>
                <w:rFonts w:hint="eastAsia" w:ascii="宋体" w:hAnsi="宋体" w:cs="宋体"/>
                <w:color w:val="auto"/>
                <w:kern w:val="0"/>
                <w:szCs w:val="21"/>
                <w:highlight w:val="none"/>
                <w:lang w:bidi="ar"/>
              </w:rPr>
              <w:t>时间同招标文件获取时间。</w:t>
            </w:r>
          </w:p>
          <w:p w14:paraId="32CB3B9E">
            <w:pPr>
              <w:widowControl/>
              <w:spacing w:before="68" w:line="500" w:lineRule="exact"/>
              <w:ind w:firstLine="630" w:firstLineChars="300"/>
              <w:jc w:val="left"/>
              <w:rPr>
                <w:rFonts w:ascii="宋体" w:hAnsi="宋体" w:cs="宋体"/>
                <w:color w:val="auto"/>
                <w:szCs w:val="21"/>
                <w:highlight w:val="none"/>
              </w:rPr>
            </w:pPr>
            <w:r>
              <w:rPr>
                <w:rFonts w:hint="eastAsia" w:ascii="宋体" w:hAnsi="宋体" w:cs="宋体"/>
                <w:color w:val="auto"/>
                <w:kern w:val="0"/>
                <w:szCs w:val="21"/>
                <w:highlight w:val="none"/>
                <w:lang w:bidi="ar"/>
              </w:rPr>
              <w:t>本项目实行网上报名。供应商请</w:t>
            </w:r>
            <w:r>
              <w:rPr>
                <w:rFonts w:hint="eastAsia" w:ascii="宋体" w:hAnsi="宋体" w:cs="宋体"/>
                <w:color w:val="auto"/>
                <w:kern w:val="0"/>
                <w:szCs w:val="21"/>
                <w:highlight w:val="none"/>
                <w:lang w:eastAsia="zh-CN" w:bidi="ar"/>
              </w:rPr>
              <w:t>登录</w:t>
            </w:r>
            <w:r>
              <w:rPr>
                <w:rFonts w:hint="eastAsia" w:ascii="宋体" w:hAnsi="宋体" w:cs="宋体"/>
                <w:color w:val="auto"/>
                <w:kern w:val="0"/>
                <w:szCs w:val="21"/>
                <w:highlight w:val="none"/>
                <w:lang w:bidi="ar"/>
              </w:rPr>
              <w:t>嘉兴禾采联综合采购服务平台（http://hcl.jxcqgs.cn/）—“供应商登录”，进行下载发包文件，即报名成功。</w:t>
            </w:r>
          </w:p>
        </w:tc>
      </w:tr>
      <w:tr w14:paraId="3BEF4C3C">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3F503027">
            <w:pPr>
              <w:widowControl/>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6. 投标文件的递交</w:t>
            </w:r>
          </w:p>
        </w:tc>
      </w:tr>
      <w:tr w14:paraId="0ACC7769">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1BE56A17">
            <w:pPr>
              <w:pageBreakBefore w:val="0"/>
              <w:widowControl w:val="0"/>
              <w:tabs>
                <w:tab w:val="left" w:pos="360"/>
              </w:tabs>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1投标文件递交截止时间：202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日09时30分整。</w:t>
            </w:r>
          </w:p>
          <w:p w14:paraId="546CC158">
            <w:pPr>
              <w:pageBreakBefore w:val="0"/>
              <w:widowControl w:val="0"/>
              <w:tabs>
                <w:tab w:val="left" w:pos="360"/>
              </w:tabs>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开标时间：同投标文件递交截止时间。</w:t>
            </w:r>
          </w:p>
          <w:p w14:paraId="35457BF2">
            <w:pPr>
              <w:pageBreakBefore w:val="0"/>
              <w:widowControl w:val="0"/>
              <w:tabs>
                <w:tab w:val="left" w:pos="360"/>
              </w:tabs>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3投标文件递交地址：请</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嘉兴禾采联综合采购服务平台（</w:t>
            </w:r>
            <w:bookmarkStart w:id="2" w:name="OLE_LINK27"/>
            <w:r>
              <w:rPr>
                <w:rFonts w:hint="eastAsia" w:ascii="宋体" w:hAnsi="宋体" w:eastAsia="宋体" w:cs="宋体"/>
                <w:color w:val="auto"/>
                <w:szCs w:val="21"/>
                <w:highlight w:val="none"/>
              </w:rPr>
              <w:t>http://hcl.jxcqgs.cn/</w:t>
            </w:r>
            <w:bookmarkEnd w:id="2"/>
            <w:r>
              <w:rPr>
                <w:rFonts w:hint="eastAsia" w:ascii="宋体" w:hAnsi="宋体" w:eastAsia="宋体" w:cs="宋体"/>
                <w:color w:val="auto"/>
                <w:szCs w:val="21"/>
                <w:highlight w:val="none"/>
              </w:rPr>
              <w:t>）—“供应商登录”，在投标截止日期前上传投标文件，提示上传成功即完成投标。本项目通过嘉兴禾采联综合采购服务平台投标制作软件编制并加密投标文件，供应商未按规定加密的投标文件，嘉兴禾采联综合采购服务平台将予以拒收。</w:t>
            </w:r>
          </w:p>
          <w:p w14:paraId="1AE0EA37">
            <w:pPr>
              <w:pageBreakBefore w:val="0"/>
              <w:widowControl w:val="0"/>
              <w:tabs>
                <w:tab w:val="left" w:pos="360"/>
              </w:tabs>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4开标地址：本次采用远程不见面开标，请供应商在开标前提前</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嘉兴禾采联综合采购服务平台（</w:t>
            </w:r>
            <w:r>
              <w:rPr>
                <w:rFonts w:hint="eastAsia" w:ascii="宋体" w:hAnsi="宋体" w:eastAsia="宋体" w:cs="宋体"/>
                <w:color w:val="auto"/>
                <w:szCs w:val="21"/>
                <w:highlight w:val="none"/>
                <w:lang w:eastAsia="zh-CN"/>
              </w:rPr>
              <w:t>http://hcl.jxcqgs.cn/</w:t>
            </w:r>
            <w:r>
              <w:rPr>
                <w:rFonts w:hint="eastAsia" w:ascii="宋体" w:hAnsi="宋体" w:eastAsia="宋体" w:cs="宋体"/>
                <w:color w:val="auto"/>
                <w:szCs w:val="21"/>
                <w:highlight w:val="none"/>
              </w:rPr>
              <w:t>）—“不见面开标”，</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成功后，参与线上开标流程，完成在线解密。本项目解密时长为 30 分钟，如未在规定时间内完成解密的，责任由供应商自负。</w:t>
            </w:r>
          </w:p>
          <w:p w14:paraId="3EF3388F">
            <w:pPr>
              <w:widowControl w:val="0"/>
              <w:tabs>
                <w:tab w:val="left" w:pos="360"/>
              </w:tabs>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注：相关制作软件及操作手册请在嘉兴禾采联综合采购服务平台首页办事指南及下载中心自行下载。</w:t>
            </w:r>
          </w:p>
        </w:tc>
      </w:tr>
      <w:tr w14:paraId="49015069">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4C12FA0E">
            <w:pPr>
              <w:widowControl/>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7. 发布公告的媒介</w:t>
            </w:r>
          </w:p>
        </w:tc>
      </w:tr>
      <w:tr w14:paraId="6CF2E578">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39892F3F">
            <w:pPr>
              <w:widowControl/>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本次招标公告将同时在嘉兴禾采联综合采购服务平台（</w:t>
            </w:r>
            <w:r>
              <w:rPr>
                <w:rFonts w:hint="eastAsia" w:ascii="宋体" w:hAnsi="宋体" w:eastAsia="宋体" w:cs="宋体"/>
                <w:color w:val="auto"/>
                <w:szCs w:val="21"/>
                <w:highlight w:val="none"/>
                <w:lang w:eastAsia="zh-CN"/>
              </w:rPr>
              <w:t>http://hcl.jxcqgs.cn/</w:t>
            </w:r>
            <w:r>
              <w:rPr>
                <w:rFonts w:hint="eastAsia" w:ascii="宋体" w:hAnsi="宋体" w:eastAsia="宋体" w:cs="宋体"/>
                <w:color w:val="auto"/>
                <w:szCs w:val="21"/>
                <w:highlight w:val="none"/>
              </w:rPr>
              <w:t>）、嘉兴市公共资源交易中心网站（http://jxszwsjb.jiaxing.gov.cn）和</w:t>
            </w:r>
            <w:bookmarkStart w:id="3" w:name="OLE_LINK53"/>
            <w:r>
              <w:rPr>
                <w:rFonts w:hint="eastAsia" w:ascii="宋体" w:hAnsi="宋体" w:eastAsia="宋体" w:cs="宋体"/>
                <w:color w:val="auto"/>
                <w:szCs w:val="21"/>
                <w:highlight w:val="none"/>
              </w:rPr>
              <w:t>嘉兴市交通投资集团有限责任公司</w:t>
            </w:r>
            <w:bookmarkEnd w:id="3"/>
            <w:r>
              <w:rPr>
                <w:rFonts w:hint="eastAsia" w:ascii="宋体" w:hAnsi="宋体" w:eastAsia="宋体" w:cs="宋体"/>
                <w:color w:val="auto"/>
                <w:szCs w:val="21"/>
                <w:highlight w:val="none"/>
              </w:rPr>
              <w:t>网站（http//www.jxjtjt.cn）发布。</w:t>
            </w:r>
          </w:p>
        </w:tc>
      </w:tr>
      <w:tr w14:paraId="1A44A4E6">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2C7C2DBC">
            <w:pPr>
              <w:widowControl/>
              <w:spacing w:line="500" w:lineRule="exact"/>
              <w:jc w:val="left"/>
              <w:rPr>
                <w:rFonts w:ascii="宋体" w:hAnsi="宋体" w:cs="宋体"/>
                <w:b/>
                <w:color w:val="auto"/>
                <w:szCs w:val="21"/>
                <w:highlight w:val="none"/>
              </w:rPr>
            </w:pPr>
            <w:r>
              <w:rPr>
                <w:rFonts w:hint="eastAsia" w:ascii="宋体" w:hAnsi="宋体" w:cs="宋体"/>
                <w:b/>
                <w:color w:val="auto"/>
                <w:kern w:val="0"/>
                <w:szCs w:val="21"/>
                <w:highlight w:val="none"/>
                <w:lang w:bidi="ar"/>
              </w:rPr>
              <w:t>8. 联系方式</w:t>
            </w:r>
          </w:p>
        </w:tc>
      </w:tr>
      <w:tr w14:paraId="3D47A794">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tbl>
            <w:tblPr>
              <w:tblStyle w:val="3"/>
              <w:tblW w:w="0" w:type="auto"/>
              <w:tblInd w:w="0" w:type="dxa"/>
              <w:tblLayout w:type="fixed"/>
              <w:tblCellMar>
                <w:top w:w="15" w:type="dxa"/>
                <w:left w:w="15" w:type="dxa"/>
                <w:bottom w:w="15" w:type="dxa"/>
                <w:right w:w="15" w:type="dxa"/>
              </w:tblCellMar>
            </w:tblPr>
            <w:tblGrid>
              <w:gridCol w:w="4741"/>
              <w:gridCol w:w="4869"/>
            </w:tblGrid>
            <w:tr w14:paraId="73EEB1A1">
              <w:tblPrEx>
                <w:tblCellMar>
                  <w:top w:w="15" w:type="dxa"/>
                  <w:left w:w="15" w:type="dxa"/>
                  <w:bottom w:w="15" w:type="dxa"/>
                  <w:right w:w="15" w:type="dxa"/>
                </w:tblCellMar>
              </w:tblPrEx>
              <w:tc>
                <w:tcPr>
                  <w:tcW w:w="4741" w:type="dxa"/>
                  <w:noWrap w:val="0"/>
                  <w:tcMar>
                    <w:top w:w="0" w:type="dxa"/>
                    <w:left w:w="0" w:type="dxa"/>
                    <w:bottom w:w="0" w:type="dxa"/>
                    <w:right w:w="0" w:type="dxa"/>
                  </w:tcMar>
                  <w:vAlign w:val="center"/>
                </w:tcPr>
                <w:p w14:paraId="1031C8F1">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招 标 人：</w:t>
                  </w:r>
                  <w:r>
                    <w:rPr>
                      <w:rFonts w:hint="eastAsia" w:ascii="宋体" w:hAnsi="宋体" w:cs="宋体"/>
                      <w:color w:val="auto"/>
                      <w:kern w:val="0"/>
                      <w:szCs w:val="21"/>
                      <w:highlight w:val="none"/>
                      <w:u w:val="single"/>
                      <w:lang w:bidi="ar"/>
                    </w:rPr>
                    <w:t>嘉兴市快速路建设发展有限公司</w:t>
                  </w:r>
                </w:p>
              </w:tc>
              <w:tc>
                <w:tcPr>
                  <w:tcW w:w="4869" w:type="dxa"/>
                  <w:noWrap w:val="0"/>
                  <w:tcMar>
                    <w:top w:w="0" w:type="dxa"/>
                    <w:left w:w="0" w:type="dxa"/>
                    <w:bottom w:w="0" w:type="dxa"/>
                    <w:right w:w="0" w:type="dxa"/>
                  </w:tcMar>
                  <w:vAlign w:val="center"/>
                </w:tcPr>
                <w:p w14:paraId="17E39998">
                  <w:pPr>
                    <w:widowControl/>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招标代理机构：</w:t>
                  </w:r>
                  <w:r>
                    <w:rPr>
                      <w:rFonts w:hint="eastAsia" w:ascii="宋体" w:hAnsi="宋体" w:cs="宋体"/>
                      <w:color w:val="auto"/>
                      <w:kern w:val="0"/>
                      <w:szCs w:val="21"/>
                      <w:highlight w:val="none"/>
                      <w:u w:val="single"/>
                      <w:lang w:eastAsia="zh-CN" w:bidi="ar"/>
                    </w:rPr>
                    <w:t>浙江同欣工程管理有限公司</w:t>
                  </w:r>
                </w:p>
              </w:tc>
            </w:tr>
            <w:tr w14:paraId="56440D1B">
              <w:tblPrEx>
                <w:tblCellMar>
                  <w:top w:w="15" w:type="dxa"/>
                  <w:left w:w="15" w:type="dxa"/>
                  <w:bottom w:w="15" w:type="dxa"/>
                  <w:right w:w="15" w:type="dxa"/>
                </w:tblCellMar>
              </w:tblPrEx>
              <w:tc>
                <w:tcPr>
                  <w:tcW w:w="4741" w:type="dxa"/>
                  <w:noWrap w:val="0"/>
                  <w:tcMar>
                    <w:top w:w="0" w:type="dxa"/>
                    <w:left w:w="0" w:type="dxa"/>
                    <w:bottom w:w="0" w:type="dxa"/>
                    <w:right w:w="0" w:type="dxa"/>
                  </w:tcMar>
                  <w:vAlign w:val="center"/>
                </w:tcPr>
                <w:p w14:paraId="7B318EA9">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联 系 人：</w:t>
                  </w:r>
                  <w:r>
                    <w:rPr>
                      <w:rFonts w:hint="eastAsia" w:ascii="宋体" w:hAnsi="宋体" w:cs="宋体"/>
                      <w:color w:val="auto"/>
                      <w:kern w:val="0"/>
                      <w:szCs w:val="21"/>
                      <w:highlight w:val="none"/>
                      <w:u w:val="single"/>
                      <w:lang w:val="en-US" w:eastAsia="zh-CN" w:bidi="ar"/>
                    </w:rPr>
                    <w:t>赵先生</w:t>
                  </w:r>
                </w:p>
              </w:tc>
              <w:tc>
                <w:tcPr>
                  <w:tcW w:w="4869" w:type="dxa"/>
                  <w:noWrap w:val="0"/>
                  <w:tcMar>
                    <w:top w:w="0" w:type="dxa"/>
                    <w:left w:w="0" w:type="dxa"/>
                    <w:bottom w:w="0" w:type="dxa"/>
                    <w:right w:w="0" w:type="dxa"/>
                  </w:tcMar>
                  <w:vAlign w:val="center"/>
                </w:tcPr>
                <w:p w14:paraId="49E24DB9">
                  <w:pPr>
                    <w:widowControl/>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联 系 人：</w:t>
                  </w:r>
                  <w:r>
                    <w:rPr>
                      <w:rFonts w:hint="eastAsia" w:ascii="宋体" w:hAnsi="宋体" w:cs="宋体"/>
                      <w:color w:val="auto"/>
                      <w:kern w:val="0"/>
                      <w:szCs w:val="21"/>
                      <w:highlight w:val="none"/>
                      <w:u w:val="single"/>
                      <w:lang w:eastAsia="zh-CN" w:bidi="ar"/>
                    </w:rPr>
                    <w:t>张瑜、夏伟豪</w:t>
                  </w:r>
                </w:p>
              </w:tc>
            </w:tr>
            <w:tr w14:paraId="09FC1BCD">
              <w:tblPrEx>
                <w:tblCellMar>
                  <w:top w:w="15" w:type="dxa"/>
                  <w:left w:w="15" w:type="dxa"/>
                  <w:bottom w:w="15" w:type="dxa"/>
                  <w:right w:w="15" w:type="dxa"/>
                </w:tblCellMar>
              </w:tblPrEx>
              <w:tc>
                <w:tcPr>
                  <w:tcW w:w="4741" w:type="dxa"/>
                  <w:noWrap w:val="0"/>
                  <w:tcMar>
                    <w:top w:w="0" w:type="dxa"/>
                    <w:left w:w="0" w:type="dxa"/>
                    <w:bottom w:w="0" w:type="dxa"/>
                    <w:right w:w="0" w:type="dxa"/>
                  </w:tcMar>
                  <w:vAlign w:val="center"/>
                </w:tcPr>
                <w:p w14:paraId="406C1EED">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电 话：</w:t>
                  </w:r>
                  <w:r>
                    <w:rPr>
                      <w:rFonts w:hint="eastAsia" w:ascii="宋体" w:hAnsi="宋体" w:cs="宋体"/>
                      <w:color w:val="auto"/>
                      <w:kern w:val="0"/>
                      <w:szCs w:val="21"/>
                      <w:highlight w:val="none"/>
                      <w:u w:val="single"/>
                      <w:lang w:bidi="ar"/>
                    </w:rPr>
                    <w:t>0573-82622169</w:t>
                  </w:r>
                </w:p>
              </w:tc>
              <w:tc>
                <w:tcPr>
                  <w:tcW w:w="4869" w:type="dxa"/>
                  <w:noWrap w:val="0"/>
                  <w:tcMar>
                    <w:top w:w="0" w:type="dxa"/>
                    <w:left w:w="0" w:type="dxa"/>
                    <w:bottom w:w="0" w:type="dxa"/>
                    <w:right w:w="0" w:type="dxa"/>
                  </w:tcMar>
                  <w:vAlign w:val="center"/>
                </w:tcPr>
                <w:p w14:paraId="2D285D16">
                  <w:pPr>
                    <w:widowControl/>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电 话：</w:t>
                  </w:r>
                  <w:r>
                    <w:rPr>
                      <w:rFonts w:hint="eastAsia" w:ascii="宋体" w:hAnsi="宋体" w:cs="宋体"/>
                      <w:color w:val="auto"/>
                      <w:kern w:val="0"/>
                      <w:szCs w:val="21"/>
                      <w:highlight w:val="none"/>
                      <w:u w:val="single"/>
                      <w:lang w:val="en-US" w:eastAsia="zh-CN" w:bidi="ar"/>
                    </w:rPr>
                    <w:t>13205894626</w:t>
                  </w:r>
                </w:p>
              </w:tc>
            </w:tr>
            <w:tr w14:paraId="57B9E56E">
              <w:tblPrEx>
                <w:tblCellMar>
                  <w:top w:w="15" w:type="dxa"/>
                  <w:left w:w="15" w:type="dxa"/>
                  <w:bottom w:w="15" w:type="dxa"/>
                  <w:right w:w="15" w:type="dxa"/>
                </w:tblCellMar>
              </w:tblPrEx>
              <w:trPr>
                <w:trHeight w:val="836" w:hRule="atLeast"/>
              </w:trPr>
              <w:tc>
                <w:tcPr>
                  <w:tcW w:w="4741" w:type="dxa"/>
                  <w:noWrap w:val="0"/>
                  <w:tcMar>
                    <w:top w:w="0" w:type="dxa"/>
                    <w:left w:w="0" w:type="dxa"/>
                    <w:bottom w:w="0" w:type="dxa"/>
                    <w:right w:w="0" w:type="dxa"/>
                  </w:tcMar>
                  <w:vAlign w:val="center"/>
                </w:tcPr>
                <w:p w14:paraId="484FF729">
                  <w:pPr>
                    <w:widowControl/>
                    <w:spacing w:line="500" w:lineRule="exact"/>
                    <w:ind w:firstLine="0" w:firstLineChars="0"/>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地 址：</w:t>
                  </w:r>
                  <w:r>
                    <w:rPr>
                      <w:rFonts w:hint="eastAsia" w:ascii="宋体" w:hAnsi="宋体" w:cs="宋体"/>
                      <w:color w:val="auto"/>
                      <w:kern w:val="0"/>
                      <w:szCs w:val="21"/>
                      <w:highlight w:val="none"/>
                      <w:u w:val="single"/>
                      <w:lang w:bidi="ar"/>
                    </w:rPr>
                    <w:t>嘉兴市南湖区建设街道万国路2056号客运中心11楼工程技术部</w:t>
                  </w:r>
                </w:p>
              </w:tc>
              <w:tc>
                <w:tcPr>
                  <w:tcW w:w="4869" w:type="dxa"/>
                  <w:noWrap w:val="0"/>
                  <w:tcMar>
                    <w:top w:w="0" w:type="dxa"/>
                    <w:left w:w="0" w:type="dxa"/>
                    <w:bottom w:w="0" w:type="dxa"/>
                    <w:right w:w="0" w:type="dxa"/>
                  </w:tcMar>
                  <w:vAlign w:val="center"/>
                </w:tcPr>
                <w:p w14:paraId="13A2D7C5">
                  <w:pPr>
                    <w:widowControl/>
                    <w:spacing w:line="50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地址：</w:t>
                  </w:r>
                  <w:r>
                    <w:rPr>
                      <w:rFonts w:hint="eastAsia" w:ascii="宋体" w:hAnsi="宋体" w:cs="宋体"/>
                      <w:color w:val="auto"/>
                      <w:kern w:val="0"/>
                      <w:szCs w:val="21"/>
                      <w:highlight w:val="none"/>
                      <w:u w:val="single"/>
                      <w:lang w:eastAsia="zh-CN" w:bidi="ar"/>
                    </w:rPr>
                    <w:t>杭州市西湖区古墩路701号紫金广场C座9楼</w:t>
                  </w:r>
                  <w:r>
                    <w:rPr>
                      <w:rFonts w:hint="eastAsia" w:ascii="宋体" w:hAnsi="宋体" w:cs="宋体"/>
                      <w:color w:val="auto"/>
                      <w:kern w:val="0"/>
                      <w:szCs w:val="21"/>
                      <w:highlight w:val="none"/>
                      <w:lang w:bidi="ar"/>
                    </w:rPr>
                    <w:t xml:space="preserve">  </w:t>
                  </w:r>
                </w:p>
              </w:tc>
            </w:tr>
          </w:tbl>
          <w:p w14:paraId="4416502C">
            <w:pPr>
              <w:widowControl/>
              <w:spacing w:line="500" w:lineRule="exact"/>
              <w:jc w:val="left"/>
              <w:rPr>
                <w:rFonts w:ascii="宋体" w:hAnsi="宋体" w:cs="宋体"/>
                <w:color w:val="auto"/>
                <w:szCs w:val="21"/>
                <w:highlight w:val="none"/>
              </w:rPr>
            </w:pPr>
          </w:p>
        </w:tc>
      </w:tr>
      <w:tr w14:paraId="46919DDF">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338685BB">
            <w:pPr>
              <w:widowControl/>
              <w:spacing w:line="500" w:lineRule="exact"/>
              <w:jc w:val="left"/>
              <w:rPr>
                <w:rFonts w:hint="eastAsia" w:ascii="宋体" w:hAnsi="宋体" w:eastAsia="宋体" w:cs="宋体"/>
                <w:color w:val="auto"/>
                <w:szCs w:val="21"/>
                <w:highlight w:val="none"/>
                <w:lang w:eastAsia="zh-CN"/>
              </w:rPr>
            </w:pPr>
            <w:r>
              <w:rPr>
                <w:rFonts w:hint="eastAsia" w:ascii="宋体" w:hAnsi="宋体" w:cs="宋体"/>
                <w:b/>
                <w:color w:val="auto"/>
                <w:kern w:val="0"/>
                <w:szCs w:val="21"/>
                <w:highlight w:val="none"/>
                <w:lang w:bidi="ar"/>
              </w:rPr>
              <w:t>9.行政监督部门：</w:t>
            </w:r>
            <w:r>
              <w:rPr>
                <w:rFonts w:hint="eastAsia" w:ascii="宋体" w:hAnsi="宋体" w:cs="宋体"/>
                <w:b/>
                <w:color w:val="auto"/>
                <w:kern w:val="0"/>
                <w:szCs w:val="21"/>
                <w:highlight w:val="none"/>
                <w:lang w:eastAsia="zh-CN" w:bidi="ar"/>
              </w:rPr>
              <w:t>嘉兴市快速路建设发展有限公司综合管理部</w:t>
            </w:r>
          </w:p>
        </w:tc>
      </w:tr>
      <w:tr w14:paraId="5C06E8B5">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014EF11E">
            <w:pPr>
              <w:widowControl/>
              <w:spacing w:line="360" w:lineRule="auto"/>
              <w:jc w:val="left"/>
              <w:rPr>
                <w:rFonts w:ascii="宋体" w:hAnsi="宋体" w:cs="宋体"/>
                <w:b/>
                <w:color w:val="auto"/>
                <w:sz w:val="24"/>
                <w:highlight w:val="none"/>
              </w:rPr>
            </w:pPr>
          </w:p>
        </w:tc>
      </w:tr>
      <w:tr w14:paraId="5A060625">
        <w:tblPrEx>
          <w:tblCellMar>
            <w:top w:w="15" w:type="dxa"/>
            <w:left w:w="15" w:type="dxa"/>
            <w:bottom w:w="15" w:type="dxa"/>
            <w:right w:w="15" w:type="dxa"/>
          </w:tblCellMar>
        </w:tblPrEx>
        <w:trPr>
          <w:trHeight w:val="601" w:hRule="atLeast"/>
          <w:jc w:val="center"/>
        </w:trPr>
        <w:tc>
          <w:tcPr>
            <w:tcW w:w="9610" w:type="dxa"/>
            <w:noWrap w:val="0"/>
            <w:tcMar>
              <w:top w:w="0" w:type="dxa"/>
              <w:left w:w="0" w:type="dxa"/>
              <w:bottom w:w="0" w:type="dxa"/>
              <w:right w:w="0" w:type="dxa"/>
            </w:tcMar>
            <w:vAlign w:val="center"/>
          </w:tcPr>
          <w:p w14:paraId="289E2035">
            <w:pPr>
              <w:widowControl/>
              <w:spacing w:line="300" w:lineRule="atLeast"/>
              <w:jc w:val="right"/>
              <w:rPr>
                <w:rFonts w:ascii="宋体" w:hAnsi="宋体" w:cs="宋体"/>
                <w:color w:val="auto"/>
                <w:sz w:val="24"/>
                <w:highlight w:val="none"/>
              </w:rPr>
            </w:pPr>
            <w:r>
              <w:rPr>
                <w:rFonts w:hint="eastAsia" w:ascii="宋体" w:hAnsi="宋体" w:cs="宋体"/>
                <w:color w:val="auto"/>
                <w:kern w:val="0"/>
                <w:sz w:val="24"/>
                <w:highlight w:val="none"/>
                <w:lang w:bidi="ar"/>
              </w:rPr>
              <w:t>发布</w:t>
            </w:r>
            <w:bookmarkStart w:id="4" w:name="_GoBack"/>
            <w:bookmarkEnd w:id="4"/>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20</w:t>
            </w:r>
            <w:r>
              <w:rPr>
                <w:rFonts w:hint="eastAsia" w:ascii="宋体" w:hAnsi="宋体" w:cs="宋体"/>
                <w:color w:val="auto"/>
                <w:kern w:val="0"/>
                <w:sz w:val="24"/>
                <w:highlight w:val="none"/>
                <w:u w:val="single"/>
                <w:lang w:val="en-US" w:eastAsia="zh-CN" w:bidi="ar"/>
              </w:rPr>
              <w:t>25</w:t>
            </w:r>
            <w:r>
              <w:rPr>
                <w:rFonts w:hint="eastAsia" w:ascii="宋体" w:hAnsi="宋体" w:cs="宋体"/>
                <w:color w:val="auto"/>
                <w:kern w:val="0"/>
                <w:sz w:val="24"/>
                <w:highlight w:val="none"/>
                <w:u w:val="single"/>
                <w:lang w:bidi="ar"/>
              </w:rPr>
              <w:t>年</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月</w:t>
            </w:r>
            <w:r>
              <w:rPr>
                <w:rFonts w:hint="eastAsia" w:ascii="宋体" w:hAnsi="宋体" w:cs="宋体"/>
                <w:color w:val="auto"/>
                <w:kern w:val="0"/>
                <w:sz w:val="24"/>
                <w:highlight w:val="none"/>
                <w:u w:val="single"/>
                <w:lang w:val="en-US" w:eastAsia="zh-CN" w:bidi="ar"/>
              </w:rPr>
              <w:t xml:space="preserve"> 26 </w:t>
            </w:r>
            <w:r>
              <w:rPr>
                <w:rFonts w:hint="eastAsia" w:ascii="宋体" w:hAnsi="宋体" w:cs="宋体"/>
                <w:color w:val="auto"/>
                <w:kern w:val="0"/>
                <w:sz w:val="24"/>
                <w:highlight w:val="none"/>
                <w:u w:val="single"/>
                <w:lang w:bidi="ar"/>
              </w:rPr>
              <w:t>日</w:t>
            </w:r>
            <w:r>
              <w:rPr>
                <w:rFonts w:hint="eastAsia" w:ascii="宋体" w:hAnsi="宋体" w:cs="宋体"/>
                <w:color w:val="auto"/>
                <w:kern w:val="0"/>
                <w:sz w:val="24"/>
                <w:highlight w:val="none"/>
                <w:lang w:bidi="ar"/>
              </w:rPr>
              <w:t xml:space="preserve"> </w:t>
            </w:r>
          </w:p>
        </w:tc>
      </w:tr>
    </w:tbl>
    <w:p w14:paraId="58864A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2D5E"/>
    <w:rsid w:val="65F42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2025-03-26T04:53:00Z</dcterms:created>
  <dc:creator>hw</dc:creator>
  <cp:lastModifiedBy>hw</cp:lastModifiedBy>
  <dcterms:modified xsi:type="dcterms:W3CDTF">2025-03-26T04:56:27Z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D92DF6604F8B4BFE8DA25B3506C4384C_11</vt:lpwstr>
  </property>
  <property fmtid="{D5CDD505-2E9C-101B-9397-08002B2CF9AE}" pid="4" name="KSOTemplateDocerSaveRecord">
    <vt:lpwstr>eyJoZGlkIjoiZWRkYjRlYmY2OGY0NTkwNzc3NWJhNGRiYWJiMTY1N2YiLCJ1c2VySWQiOiI1NTQwNDQ3MTEifQ==</vt:lpwstr>
  </property>
</Properties>
</file>