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E29E7">
      <w:pPr>
        <w:pStyle w:val="7"/>
        <w:keepNext w:val="0"/>
        <w:keepLines w:val="0"/>
        <w:pageBreakBefore w:val="0"/>
        <w:widowControl w:val="0"/>
        <w:numPr>
          <w:ilvl w:val="0"/>
          <w:numId w:val="0"/>
        </w:numPr>
        <w:kinsoku/>
        <w:wordWrap/>
        <w:overflowPunct/>
        <w:topLinePunct w:val="0"/>
        <w:autoSpaceDE/>
        <w:autoSpaceDN/>
        <w:bidi w:val="0"/>
        <w:adjustRightInd/>
        <w:snapToGrid/>
        <w:spacing w:before="0" w:after="313" w:afterLines="100" w:line="600" w:lineRule="exact"/>
        <w:jc w:val="center"/>
        <w:textAlignment w:val="auto"/>
        <w:rPr>
          <w:rFonts w:hint="eastAsia" w:ascii="微软雅黑" w:hAnsi="微软雅黑" w:cs="微软雅黑"/>
          <w:sz w:val="24"/>
          <w:szCs w:val="24"/>
          <w:highlight w:val="none"/>
        </w:rPr>
      </w:pPr>
      <w:bookmarkStart w:id="0" w:name="_Toc98019223"/>
      <w:bookmarkStart w:id="1" w:name="_Hlk159851886"/>
      <w:bookmarkStart w:id="2" w:name="_Hlk104999974"/>
      <w:r>
        <w:rPr>
          <w:rFonts w:hint="eastAsia" w:ascii="微软雅黑" w:hAnsi="微软雅黑" w:cs="微软雅黑"/>
          <w:sz w:val="24"/>
          <w:szCs w:val="24"/>
          <w:highlight w:val="none"/>
        </w:rPr>
        <w:t>浙江卓驿商业管理有限公司结算银行合作项目公开招标公告</w:t>
      </w:r>
      <w:bookmarkEnd w:id="0"/>
    </w:p>
    <w:bookmarkEnd w:id="1"/>
    <w:p w14:paraId="135A642E">
      <w:pPr>
        <w:pStyle w:val="6"/>
        <w:spacing w:before="0" w:beforeAutospacing="0" w:after="0" w:afterAutospacing="0" w:line="560" w:lineRule="exact"/>
        <w:ind w:firstLine="435"/>
        <w:jc w:val="both"/>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嘉兴市千秋工程咨询有限公司受</w:t>
      </w:r>
      <w:r>
        <w:rPr>
          <w:rFonts w:hint="eastAsia" w:ascii="微软雅黑" w:hAnsi="微软雅黑" w:eastAsia="微软雅黑" w:cs="微软雅黑"/>
          <w:b/>
          <w:bCs/>
          <w:sz w:val="21"/>
          <w:szCs w:val="21"/>
          <w:highlight w:val="none"/>
        </w:rPr>
        <w:t>浙江卓驿商业管理有限公司</w:t>
      </w:r>
      <w:r>
        <w:rPr>
          <w:rFonts w:hint="eastAsia" w:ascii="微软雅黑" w:hAnsi="微软雅黑" w:eastAsia="微软雅黑" w:cs="微软雅黑"/>
          <w:sz w:val="21"/>
          <w:szCs w:val="21"/>
          <w:highlight w:val="none"/>
        </w:rPr>
        <w:t>的委托，就下列项目进行公开招标，特欢迎国内合格的投标人前来投标，现将有关事项公告如下：</w:t>
      </w:r>
    </w:p>
    <w:p w14:paraId="0DC1E359">
      <w:pPr>
        <w:pStyle w:val="6"/>
        <w:numPr>
          <w:ilvl w:val="0"/>
          <w:numId w:val="1"/>
        </w:numPr>
        <w:tabs>
          <w:tab w:val="left" w:pos="993"/>
        </w:tabs>
        <w:spacing w:before="0" w:beforeAutospacing="0" w:after="0" w:afterAutospacing="0" w:line="560" w:lineRule="exact"/>
        <w:ind w:left="0" w:firstLine="426"/>
        <w:jc w:val="both"/>
        <w:textAlignment w:val="baseline"/>
        <w:rPr>
          <w:rFonts w:hint="eastAsia" w:ascii="微软雅黑" w:hAnsi="微软雅黑" w:eastAsia="微软雅黑" w:cs="微软雅黑"/>
          <w:b/>
          <w:bCs/>
          <w:sz w:val="21"/>
          <w:szCs w:val="21"/>
          <w:highlight w:val="none"/>
        </w:rPr>
      </w:pPr>
      <w:r>
        <w:rPr>
          <w:rStyle w:val="11"/>
          <w:rFonts w:hint="eastAsia" w:ascii="微软雅黑" w:hAnsi="微软雅黑" w:eastAsia="微软雅黑" w:cs="微软雅黑"/>
          <w:sz w:val="21"/>
          <w:szCs w:val="21"/>
          <w:highlight w:val="none"/>
        </w:rPr>
        <w:t>项目名称：</w:t>
      </w:r>
      <w:r>
        <w:rPr>
          <w:rFonts w:hint="eastAsia" w:ascii="微软雅黑" w:hAnsi="微软雅黑" w:eastAsia="微软雅黑" w:cs="微软雅黑"/>
          <w:sz w:val="21"/>
          <w:szCs w:val="21"/>
          <w:highlight w:val="none"/>
        </w:rPr>
        <w:t>浙江卓驿商业管理有限公司结算银行合作项目</w:t>
      </w:r>
    </w:p>
    <w:p w14:paraId="623B8E5E">
      <w:pPr>
        <w:pStyle w:val="6"/>
        <w:numPr>
          <w:ilvl w:val="0"/>
          <w:numId w:val="1"/>
        </w:numPr>
        <w:tabs>
          <w:tab w:val="left" w:pos="993"/>
        </w:tabs>
        <w:spacing w:before="0" w:beforeAutospacing="0" w:after="0" w:afterAutospacing="0" w:line="560" w:lineRule="exact"/>
        <w:ind w:left="0" w:firstLine="426"/>
        <w:jc w:val="both"/>
        <w:textAlignment w:val="baseline"/>
        <w:rPr>
          <w:rFonts w:hint="eastAsia" w:ascii="微软雅黑" w:hAnsi="微软雅黑" w:eastAsia="微软雅黑" w:cs="微软雅黑"/>
          <w:b w:val="0"/>
          <w:bCs w:val="0"/>
          <w:sz w:val="21"/>
          <w:szCs w:val="21"/>
          <w:highlight w:val="none"/>
        </w:rPr>
      </w:pPr>
      <w:r>
        <w:rPr>
          <w:rStyle w:val="11"/>
          <w:rFonts w:hint="eastAsia" w:ascii="微软雅黑" w:hAnsi="微软雅黑" w:eastAsia="微软雅黑" w:cs="微软雅黑"/>
          <w:sz w:val="21"/>
          <w:szCs w:val="21"/>
          <w:highlight w:val="none"/>
        </w:rPr>
        <w:t>项目编号：</w:t>
      </w:r>
      <w:r>
        <w:rPr>
          <w:rStyle w:val="11"/>
          <w:rFonts w:hint="eastAsia" w:ascii="微软雅黑" w:hAnsi="微软雅黑" w:eastAsia="微软雅黑" w:cs="微软雅黑"/>
          <w:b w:val="0"/>
          <w:bCs w:val="0"/>
          <w:sz w:val="21"/>
          <w:szCs w:val="21"/>
          <w:highlight w:val="none"/>
        </w:rPr>
        <w:t>jxgq202603123</w:t>
      </w:r>
    </w:p>
    <w:p w14:paraId="21D19F77">
      <w:pPr>
        <w:pStyle w:val="6"/>
        <w:numPr>
          <w:ilvl w:val="0"/>
          <w:numId w:val="1"/>
        </w:numPr>
        <w:tabs>
          <w:tab w:val="left" w:pos="993"/>
        </w:tabs>
        <w:spacing w:before="0" w:beforeAutospacing="0" w:after="0" w:afterAutospacing="0" w:line="560" w:lineRule="exact"/>
        <w:ind w:left="0" w:firstLine="426"/>
        <w:jc w:val="both"/>
        <w:textAlignment w:val="baseline"/>
        <w:rPr>
          <w:rStyle w:val="11"/>
          <w:rFonts w:hint="eastAsia" w:ascii="微软雅黑" w:hAnsi="微软雅黑" w:eastAsia="微软雅黑" w:cs="微软雅黑"/>
          <w:sz w:val="21"/>
          <w:szCs w:val="21"/>
          <w:highlight w:val="none"/>
        </w:rPr>
      </w:pPr>
      <w:r>
        <w:rPr>
          <w:rStyle w:val="11"/>
          <w:rFonts w:hint="eastAsia" w:ascii="微软雅黑" w:hAnsi="微软雅黑" w:eastAsia="微软雅黑" w:cs="微软雅黑"/>
          <w:sz w:val="21"/>
          <w:szCs w:val="21"/>
          <w:highlight w:val="none"/>
        </w:rPr>
        <w:t>招标项目内容：</w:t>
      </w:r>
    </w:p>
    <w:tbl>
      <w:tblPr>
        <w:tblStyle w:val="9"/>
        <w:tblW w:w="0" w:type="auto"/>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7"/>
        <w:gridCol w:w="1675"/>
        <w:gridCol w:w="1364"/>
      </w:tblGrid>
      <w:tr w14:paraId="4D09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7" w:type="dxa"/>
          </w:tcPr>
          <w:p w14:paraId="01DF609E">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内容</w:t>
            </w:r>
          </w:p>
        </w:tc>
        <w:tc>
          <w:tcPr>
            <w:tcW w:w="1675" w:type="dxa"/>
          </w:tcPr>
          <w:p w14:paraId="718A2C57">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单位</w:t>
            </w:r>
          </w:p>
        </w:tc>
        <w:tc>
          <w:tcPr>
            <w:tcW w:w="1364" w:type="dxa"/>
          </w:tcPr>
          <w:p w14:paraId="5CD4067C">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银行数量</w:t>
            </w:r>
          </w:p>
        </w:tc>
      </w:tr>
      <w:tr w14:paraId="08B6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7" w:type="dxa"/>
          </w:tcPr>
          <w:p w14:paraId="04F70097">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结算合作银行</w:t>
            </w:r>
          </w:p>
        </w:tc>
        <w:tc>
          <w:tcPr>
            <w:tcW w:w="1675" w:type="dxa"/>
          </w:tcPr>
          <w:p w14:paraId="12DE48CC">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家</w:t>
            </w:r>
          </w:p>
        </w:tc>
        <w:tc>
          <w:tcPr>
            <w:tcW w:w="1364" w:type="dxa"/>
          </w:tcPr>
          <w:p w14:paraId="749B6677">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1</w:t>
            </w:r>
          </w:p>
        </w:tc>
      </w:tr>
    </w:tbl>
    <w:p w14:paraId="688E0A1B">
      <w:pPr>
        <w:pStyle w:val="6"/>
        <w:numPr>
          <w:ilvl w:val="0"/>
          <w:numId w:val="1"/>
        </w:numPr>
        <w:tabs>
          <w:tab w:val="left" w:pos="993"/>
        </w:tabs>
        <w:spacing w:before="0" w:beforeAutospacing="0" w:after="0" w:afterAutospacing="0" w:line="560" w:lineRule="exact"/>
        <w:ind w:left="0" w:firstLine="426"/>
        <w:jc w:val="both"/>
        <w:textAlignment w:val="baseline"/>
        <w:rPr>
          <w:rStyle w:val="11"/>
          <w:rFonts w:hint="eastAsia" w:ascii="微软雅黑" w:hAnsi="微软雅黑" w:eastAsia="微软雅黑" w:cs="微软雅黑"/>
          <w:sz w:val="21"/>
          <w:szCs w:val="21"/>
          <w:highlight w:val="none"/>
        </w:rPr>
      </w:pPr>
      <w:r>
        <w:rPr>
          <w:rStyle w:val="11"/>
          <w:rFonts w:hint="eastAsia" w:ascii="微软雅黑" w:hAnsi="微软雅黑" w:eastAsia="微软雅黑" w:cs="微软雅黑"/>
          <w:sz w:val="21"/>
          <w:szCs w:val="21"/>
          <w:highlight w:val="none"/>
        </w:rPr>
        <w:t>投标人资格要求：</w:t>
      </w:r>
    </w:p>
    <w:p w14:paraId="2C26AC24">
      <w:pPr>
        <w:tabs>
          <w:tab w:val="left" w:pos="3449"/>
        </w:tabs>
        <w:spacing w:line="560" w:lineRule="exact"/>
        <w:ind w:firstLine="420" w:firstLineChars="200"/>
        <w:rPr>
          <w:rFonts w:hint="eastAsia" w:ascii="微软雅黑" w:hAnsi="微软雅黑" w:eastAsia="微软雅黑" w:cs="微软雅黑"/>
          <w:szCs w:val="21"/>
          <w:highlight w:val="none"/>
        </w:rPr>
      </w:pPr>
      <w:bookmarkStart w:id="3" w:name="_Hlk159510576"/>
      <w:r>
        <w:rPr>
          <w:rFonts w:hint="eastAsia" w:ascii="微软雅黑" w:hAnsi="微软雅黑" w:eastAsia="微软雅黑" w:cs="微软雅黑"/>
          <w:szCs w:val="21"/>
          <w:highlight w:val="none"/>
        </w:rPr>
        <w:t>投标单位资质要求：中华人民共和国境内依法设立的国有、国有控股、股份制及地方性银行等银行业金融机构；同时须符合以下条件：</w:t>
      </w:r>
    </w:p>
    <w:p w14:paraId="62A69DFE">
      <w:pPr>
        <w:tabs>
          <w:tab w:val="left" w:pos="3449"/>
        </w:tabs>
        <w:spacing w:line="560" w:lineRule="exact"/>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（一）在嘉兴市本级设有经办机构。</w:t>
      </w:r>
    </w:p>
    <w:p w14:paraId="2D080CF7">
      <w:pPr>
        <w:tabs>
          <w:tab w:val="left" w:pos="3449"/>
        </w:tabs>
        <w:spacing w:line="560" w:lineRule="exact"/>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（二）依法开展经营活动，内部管理机制健全，具有较强的风险控制能力，近3年内在经营活动中无重大违法违规记录、未发生金融风险及重大违约事件。</w:t>
      </w:r>
    </w:p>
    <w:p w14:paraId="28E62497">
      <w:pPr>
        <w:tabs>
          <w:tab w:val="left" w:pos="3449"/>
        </w:tabs>
        <w:spacing w:line="560" w:lineRule="exact"/>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（三）纳入监管评级的银行，人行嘉兴市中心支行上年度综合评价达到B级及以上，不纳入人民银行评级范围的银行不受此条款限制。</w:t>
      </w:r>
    </w:p>
    <w:p w14:paraId="20168BED">
      <w:pPr>
        <w:pStyle w:val="5"/>
        <w:spacing w:line="560" w:lineRule="exact"/>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（四）无其他法律、法规等规定禁止参与本次招标的行为。</w:t>
      </w:r>
    </w:p>
    <w:p w14:paraId="1C02B920">
      <w:pPr>
        <w:tabs>
          <w:tab w:val="left" w:pos="3449"/>
        </w:tabs>
        <w:spacing w:line="560" w:lineRule="exact"/>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（五）投标银行只允许市级银行业金融机构由其管辖行作为唯一投标银行，其分支机构不能作为投标银行参加投标。</w:t>
      </w:r>
    </w:p>
    <w:p w14:paraId="2F84B2AE">
      <w:pPr>
        <w:pStyle w:val="5"/>
        <w:spacing w:line="560" w:lineRule="exact"/>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（六）本项目不接受联合体投标。</w:t>
      </w:r>
    </w:p>
    <w:bookmarkEnd w:id="3"/>
    <w:p w14:paraId="10C77D94">
      <w:pPr>
        <w:pStyle w:val="6"/>
        <w:numPr>
          <w:ilvl w:val="0"/>
          <w:numId w:val="1"/>
        </w:numPr>
        <w:tabs>
          <w:tab w:val="left" w:pos="993"/>
        </w:tabs>
        <w:spacing w:before="0" w:beforeAutospacing="0" w:after="0" w:afterAutospacing="0" w:line="560" w:lineRule="exact"/>
        <w:ind w:left="0" w:firstLine="426"/>
        <w:jc w:val="both"/>
        <w:textAlignment w:val="baseline"/>
        <w:rPr>
          <w:rStyle w:val="11"/>
          <w:rFonts w:hint="eastAsia" w:ascii="微软雅黑" w:hAnsi="微软雅黑" w:eastAsia="微软雅黑" w:cs="微软雅黑"/>
          <w:sz w:val="21"/>
          <w:szCs w:val="21"/>
          <w:highlight w:val="none"/>
        </w:rPr>
      </w:pPr>
      <w:r>
        <w:rPr>
          <w:rStyle w:val="11"/>
          <w:rFonts w:hint="eastAsia" w:ascii="微软雅黑" w:hAnsi="微软雅黑" w:eastAsia="微软雅黑" w:cs="微软雅黑"/>
          <w:sz w:val="21"/>
          <w:szCs w:val="21"/>
          <w:highlight w:val="none"/>
        </w:rPr>
        <w:t>获取招标文件的时间、方式</w:t>
      </w:r>
    </w:p>
    <w:p w14:paraId="50294B5D">
      <w:pPr>
        <w:pStyle w:val="6"/>
        <w:numPr>
          <w:ilvl w:val="1"/>
          <w:numId w:val="2"/>
        </w:numPr>
        <w:spacing w:before="0" w:beforeAutospacing="0" w:after="0" w:afterAutospacing="0" w:line="560" w:lineRule="exact"/>
        <w:ind w:left="0" w:firstLine="440"/>
        <w:jc w:val="both"/>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获取招标文件时间：2026年</w:t>
      </w:r>
      <w:r>
        <w:rPr>
          <w:rFonts w:hint="eastAsia" w:ascii="微软雅黑" w:hAnsi="微软雅黑" w:eastAsia="微软雅黑" w:cs="微软雅黑"/>
          <w:sz w:val="21"/>
          <w:szCs w:val="21"/>
          <w:highlight w:val="none"/>
          <w:lang w:val="en-US" w:eastAsia="zh-CN"/>
        </w:rPr>
        <w:t>03</w:t>
      </w:r>
      <w:r>
        <w:rPr>
          <w:rFonts w:hint="eastAsia" w:ascii="微软雅黑" w:hAnsi="微软雅黑" w:eastAsia="微软雅黑" w:cs="微软雅黑"/>
          <w:sz w:val="21"/>
          <w:szCs w:val="21"/>
          <w:highlight w:val="none"/>
        </w:rPr>
        <w:t>月</w:t>
      </w:r>
      <w:r>
        <w:rPr>
          <w:rFonts w:hint="eastAsia" w:ascii="微软雅黑" w:hAnsi="微软雅黑" w:eastAsia="微软雅黑" w:cs="微软雅黑"/>
          <w:sz w:val="21"/>
          <w:szCs w:val="21"/>
          <w:highlight w:val="none"/>
          <w:lang w:val="en-US" w:eastAsia="zh-CN"/>
        </w:rPr>
        <w:t>31</w:t>
      </w:r>
      <w:r>
        <w:rPr>
          <w:rFonts w:hint="eastAsia" w:ascii="微软雅黑" w:hAnsi="微软雅黑" w:eastAsia="微软雅黑" w:cs="微软雅黑"/>
          <w:sz w:val="21"/>
          <w:szCs w:val="21"/>
          <w:highlight w:val="none"/>
        </w:rPr>
        <w:t>日起至2026年</w:t>
      </w:r>
      <w:r>
        <w:rPr>
          <w:rFonts w:hint="eastAsia" w:ascii="微软雅黑" w:hAnsi="微软雅黑" w:eastAsia="微软雅黑" w:cs="微软雅黑"/>
          <w:sz w:val="21"/>
          <w:szCs w:val="21"/>
          <w:highlight w:val="none"/>
          <w:lang w:val="en-US" w:eastAsia="zh-CN"/>
        </w:rPr>
        <w:t>04</w:t>
      </w:r>
      <w:r>
        <w:rPr>
          <w:rFonts w:hint="eastAsia" w:ascii="微软雅黑" w:hAnsi="微软雅黑" w:eastAsia="微软雅黑" w:cs="微软雅黑"/>
          <w:sz w:val="21"/>
          <w:szCs w:val="21"/>
          <w:highlight w:val="none"/>
        </w:rPr>
        <w:t>月</w:t>
      </w:r>
      <w:r>
        <w:rPr>
          <w:rFonts w:hint="eastAsia" w:ascii="微软雅黑" w:hAnsi="微软雅黑" w:eastAsia="微软雅黑" w:cs="微软雅黑"/>
          <w:sz w:val="21"/>
          <w:szCs w:val="21"/>
          <w:highlight w:val="none"/>
          <w:lang w:val="en-US" w:eastAsia="zh-CN"/>
        </w:rPr>
        <w:t>14</w:t>
      </w:r>
      <w:r>
        <w:rPr>
          <w:rFonts w:hint="eastAsia" w:ascii="微软雅黑" w:hAnsi="微软雅黑" w:eastAsia="微软雅黑" w:cs="微软雅黑"/>
          <w:sz w:val="21"/>
          <w:szCs w:val="21"/>
          <w:highlight w:val="none"/>
        </w:rPr>
        <w:t>日</w:t>
      </w:r>
      <w:r>
        <w:rPr>
          <w:rFonts w:hint="eastAsia" w:ascii="微软雅黑" w:hAnsi="微软雅黑" w:eastAsia="微软雅黑" w:cs="微软雅黑"/>
          <w:sz w:val="21"/>
          <w:szCs w:val="21"/>
          <w:highlight w:val="none"/>
          <w:lang w:val="en-US" w:eastAsia="zh-CN"/>
        </w:rPr>
        <w:t>09</w:t>
      </w:r>
      <w:r>
        <w:rPr>
          <w:rFonts w:hint="eastAsia" w:ascii="微软雅黑" w:hAnsi="微软雅黑" w:eastAsia="微软雅黑" w:cs="微软雅黑"/>
          <w:sz w:val="21"/>
          <w:szCs w:val="21"/>
          <w:highlight w:val="none"/>
        </w:rPr>
        <w:t>时</w:t>
      </w:r>
      <w:r>
        <w:rPr>
          <w:rFonts w:hint="eastAsia" w:ascii="微软雅黑" w:hAnsi="微软雅黑" w:eastAsia="微软雅黑" w:cs="微软雅黑"/>
          <w:sz w:val="21"/>
          <w:szCs w:val="21"/>
          <w:highlight w:val="none"/>
          <w:lang w:val="en-US" w:eastAsia="zh-CN"/>
        </w:rPr>
        <w:t>30</w:t>
      </w:r>
      <w:r>
        <w:rPr>
          <w:rFonts w:hint="eastAsia" w:ascii="微软雅黑" w:hAnsi="微软雅黑" w:eastAsia="微软雅黑" w:cs="微软雅黑"/>
          <w:sz w:val="21"/>
          <w:szCs w:val="21"/>
          <w:highlight w:val="none"/>
        </w:rPr>
        <w:t>分止（工作时间）；</w:t>
      </w:r>
    </w:p>
    <w:p w14:paraId="5B3D1C41">
      <w:pPr>
        <w:pStyle w:val="6"/>
        <w:numPr>
          <w:ilvl w:val="1"/>
          <w:numId w:val="2"/>
        </w:numPr>
        <w:spacing w:before="0" w:beforeAutospacing="0" w:after="0" w:afterAutospacing="0" w:line="560" w:lineRule="exact"/>
        <w:ind w:left="0" w:firstLine="440"/>
        <w:jc w:val="both"/>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获取招标文件方式：本项目招标文件实行“嘉兴禾采联综合采购服务平台”在线获取，不提供招标文件纸质版，请登陆嘉兴禾采联综合采购服务平台（http://www.jxcqgs.cn/jxcqcg/）—“供应商登录”，免费注册完成后，下载获取后缀名为“JXCQZF”的发包文件等。注册咨询、技术服务电话：0573-82816090。</w:t>
      </w:r>
    </w:p>
    <w:p w14:paraId="5271D1EA">
      <w:pPr>
        <w:pStyle w:val="6"/>
        <w:spacing w:before="0" w:beforeAutospacing="0" w:after="0" w:afterAutospacing="0" w:line="560" w:lineRule="exact"/>
        <w:ind w:firstLine="401" w:firstLineChars="191"/>
        <w:jc w:val="both"/>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注：请供应商按上述要求获取招标文件，如未在嘉兴禾采联综合采购服务平台系统内完成相关流程，引起的投标无效责任自担。</w:t>
      </w:r>
    </w:p>
    <w:p w14:paraId="738ED1DA">
      <w:pPr>
        <w:pStyle w:val="6"/>
        <w:numPr>
          <w:ilvl w:val="1"/>
          <w:numId w:val="2"/>
        </w:numPr>
        <w:spacing w:before="0" w:beforeAutospacing="0" w:after="0" w:afterAutospacing="0" w:line="560" w:lineRule="exact"/>
        <w:ind w:left="0" w:firstLine="440"/>
        <w:jc w:val="both"/>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报名时间及方式：报名时间同招标文件获取时间。</w:t>
      </w:r>
    </w:p>
    <w:p w14:paraId="49157BDA">
      <w:pPr>
        <w:pStyle w:val="6"/>
        <w:spacing w:before="0" w:beforeAutospacing="0" w:after="0" w:afterAutospacing="0" w:line="560" w:lineRule="exact"/>
        <w:ind w:firstLine="435"/>
        <w:jc w:val="both"/>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本项目实行网上报名。供应商请登录嘉兴禾采联综合采购服务平台（http://www.jxcqgs.cn/jxcqcg/）—“供应商登录”，进行下载发包文件，即报名成功。</w:t>
      </w:r>
    </w:p>
    <w:p w14:paraId="583D2426">
      <w:pPr>
        <w:pStyle w:val="6"/>
        <w:spacing w:before="0" w:beforeAutospacing="0" w:after="0" w:afterAutospacing="0" w:line="560" w:lineRule="exact"/>
        <w:ind w:firstLine="435"/>
        <w:jc w:val="both"/>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投标供应商报名时需交纳150元平台系统使用费，请在投标文件上传前完成缴纳（账户名：嘉兴市产权交易有限公司；开户行：中信银行股份有限公司嘉兴分行；账号：8110801013002381608），不见面开标时校验。</w:t>
      </w:r>
    </w:p>
    <w:p w14:paraId="3CA0AA5C">
      <w:pPr>
        <w:pStyle w:val="6"/>
        <w:spacing w:before="0" w:beforeAutospacing="0" w:after="0" w:afterAutospacing="0" w:line="560" w:lineRule="exact"/>
        <w:jc w:val="both"/>
        <w:textAlignment w:val="baseline"/>
        <w:rPr>
          <w:rFonts w:hint="eastAsia" w:ascii="微软雅黑" w:hAnsi="微软雅黑" w:eastAsia="微软雅黑" w:cs="微软雅黑"/>
          <w:sz w:val="21"/>
          <w:szCs w:val="21"/>
          <w:highlight w:val="none"/>
        </w:rPr>
      </w:pPr>
      <w:r>
        <w:rPr>
          <w:rStyle w:val="11"/>
          <w:rFonts w:hint="eastAsia" w:ascii="微软雅黑" w:hAnsi="微软雅黑" w:eastAsia="微软雅黑" w:cs="微软雅黑"/>
          <w:sz w:val="21"/>
          <w:szCs w:val="21"/>
          <w:highlight w:val="none"/>
        </w:rPr>
        <w:t>六、投标文件递交截止时间及开标时间</w:t>
      </w:r>
    </w:p>
    <w:p w14:paraId="7AB45C1E">
      <w:pPr>
        <w:pStyle w:val="6"/>
        <w:spacing w:before="0" w:beforeAutospacing="0" w:after="0" w:afterAutospacing="0" w:line="560" w:lineRule="exact"/>
        <w:ind w:firstLine="435"/>
        <w:jc w:val="both"/>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投标文件递交截止时间：</w:t>
      </w:r>
      <w:r>
        <w:rPr>
          <w:rStyle w:val="11"/>
          <w:rFonts w:hint="eastAsia" w:ascii="微软雅黑" w:hAnsi="微软雅黑" w:eastAsia="微软雅黑" w:cs="微软雅黑"/>
          <w:sz w:val="21"/>
          <w:szCs w:val="21"/>
          <w:highlight w:val="none"/>
          <w:u w:val="single"/>
        </w:rPr>
        <w:t>2026年</w:t>
      </w:r>
      <w:r>
        <w:rPr>
          <w:rStyle w:val="11"/>
          <w:rFonts w:hint="eastAsia" w:ascii="微软雅黑" w:hAnsi="微软雅黑" w:eastAsia="微软雅黑" w:cs="微软雅黑"/>
          <w:sz w:val="21"/>
          <w:szCs w:val="21"/>
          <w:highlight w:val="none"/>
          <w:u w:val="single"/>
          <w:lang w:val="en-US" w:eastAsia="zh-CN"/>
        </w:rPr>
        <w:t>04</w:t>
      </w:r>
      <w:r>
        <w:rPr>
          <w:rStyle w:val="11"/>
          <w:rFonts w:hint="eastAsia" w:ascii="微软雅黑" w:hAnsi="微软雅黑" w:eastAsia="微软雅黑" w:cs="微软雅黑"/>
          <w:sz w:val="21"/>
          <w:szCs w:val="21"/>
          <w:highlight w:val="none"/>
          <w:u w:val="single"/>
        </w:rPr>
        <w:t>月</w:t>
      </w:r>
      <w:r>
        <w:rPr>
          <w:rStyle w:val="11"/>
          <w:rFonts w:hint="eastAsia" w:ascii="微软雅黑" w:hAnsi="微软雅黑" w:eastAsia="微软雅黑" w:cs="微软雅黑"/>
          <w:sz w:val="21"/>
          <w:szCs w:val="21"/>
          <w:highlight w:val="none"/>
          <w:u w:val="single"/>
          <w:lang w:val="en-US" w:eastAsia="zh-CN"/>
        </w:rPr>
        <w:t>14</w:t>
      </w:r>
      <w:r>
        <w:rPr>
          <w:rStyle w:val="11"/>
          <w:rFonts w:hint="eastAsia" w:ascii="微软雅黑" w:hAnsi="微软雅黑" w:eastAsia="微软雅黑" w:cs="微软雅黑"/>
          <w:sz w:val="21"/>
          <w:szCs w:val="21"/>
          <w:highlight w:val="none"/>
          <w:u w:val="single"/>
        </w:rPr>
        <w:t>日</w:t>
      </w:r>
      <w:r>
        <w:rPr>
          <w:rStyle w:val="11"/>
          <w:rFonts w:hint="eastAsia" w:ascii="微软雅黑" w:hAnsi="微软雅黑" w:eastAsia="微软雅黑" w:cs="微软雅黑"/>
          <w:sz w:val="21"/>
          <w:szCs w:val="21"/>
          <w:highlight w:val="none"/>
          <w:u w:val="single"/>
          <w:lang w:val="en-US" w:eastAsia="zh-CN"/>
        </w:rPr>
        <w:t>09</w:t>
      </w:r>
      <w:r>
        <w:rPr>
          <w:rStyle w:val="11"/>
          <w:rFonts w:hint="eastAsia" w:ascii="微软雅黑" w:hAnsi="微软雅黑" w:eastAsia="微软雅黑" w:cs="微软雅黑"/>
          <w:sz w:val="21"/>
          <w:szCs w:val="21"/>
          <w:highlight w:val="none"/>
          <w:u w:val="single"/>
        </w:rPr>
        <w:t>时</w:t>
      </w:r>
      <w:r>
        <w:rPr>
          <w:rStyle w:val="11"/>
          <w:rFonts w:hint="eastAsia" w:ascii="微软雅黑" w:hAnsi="微软雅黑" w:eastAsia="微软雅黑" w:cs="微软雅黑"/>
          <w:sz w:val="21"/>
          <w:szCs w:val="21"/>
          <w:highlight w:val="none"/>
          <w:u w:val="single"/>
          <w:lang w:val="en-US" w:eastAsia="zh-CN"/>
        </w:rPr>
        <w:t>30</w:t>
      </w:r>
      <w:r>
        <w:rPr>
          <w:rStyle w:val="11"/>
          <w:rFonts w:hint="eastAsia" w:ascii="微软雅黑" w:hAnsi="微软雅黑" w:eastAsia="微软雅黑" w:cs="微软雅黑"/>
          <w:sz w:val="21"/>
          <w:szCs w:val="21"/>
          <w:highlight w:val="none"/>
          <w:u w:val="single"/>
        </w:rPr>
        <w:t>分。</w:t>
      </w:r>
    </w:p>
    <w:p w14:paraId="743EDCC9">
      <w:pPr>
        <w:pStyle w:val="6"/>
        <w:spacing w:before="0" w:beforeAutospacing="0" w:after="0" w:afterAutospacing="0" w:line="560" w:lineRule="exact"/>
        <w:ind w:firstLine="435"/>
        <w:jc w:val="both"/>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开标时间：同投标文件递交截止时间。</w:t>
      </w:r>
    </w:p>
    <w:p w14:paraId="2AA90ED2">
      <w:pPr>
        <w:pStyle w:val="6"/>
        <w:spacing w:before="0" w:beforeAutospacing="0" w:after="0" w:afterAutospacing="0" w:line="560" w:lineRule="exact"/>
        <w:jc w:val="both"/>
        <w:rPr>
          <w:rFonts w:hint="eastAsia" w:ascii="微软雅黑" w:hAnsi="微软雅黑" w:eastAsia="微软雅黑" w:cs="微软雅黑"/>
          <w:sz w:val="21"/>
          <w:szCs w:val="21"/>
          <w:highlight w:val="none"/>
        </w:rPr>
      </w:pPr>
      <w:r>
        <w:rPr>
          <w:rStyle w:val="11"/>
          <w:rFonts w:hint="eastAsia" w:ascii="微软雅黑" w:hAnsi="微软雅黑" w:eastAsia="微软雅黑" w:cs="微软雅黑"/>
          <w:sz w:val="21"/>
          <w:szCs w:val="21"/>
          <w:highlight w:val="none"/>
        </w:rPr>
        <w:t>七、投标文件递交地址及开标地址</w:t>
      </w:r>
    </w:p>
    <w:p w14:paraId="32AA553F">
      <w:pPr>
        <w:pStyle w:val="6"/>
        <w:spacing w:before="0" w:beforeAutospacing="0" w:after="0" w:afterAutospacing="0" w:line="560" w:lineRule="exact"/>
        <w:ind w:firstLine="435"/>
        <w:jc w:val="both"/>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投标文件递交地址：请登录嘉兴禾采联综合采购服务平台（http://www.jxcqgs.cn/jxcqcg/）—“供应商登录”，在投标截止日期前上传投标文件，提示上传成功即完成投标。本项目通过嘉兴禾采联综合采购服务平台投标制作软件编制并加密投标文件，供应商未按规定加密的投标文件，嘉兴禾采联综合采购服务平台将予以拒收。</w:t>
      </w:r>
    </w:p>
    <w:p w14:paraId="4B952C40">
      <w:pPr>
        <w:pStyle w:val="6"/>
        <w:spacing w:before="0" w:beforeAutospacing="0" w:after="0" w:afterAutospacing="0" w:line="560" w:lineRule="exact"/>
        <w:ind w:firstLine="435"/>
        <w:jc w:val="both"/>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开标地址：本次采用远程不见面开标，请供应商在开标前提前登录嘉兴禾采联综合采购服务平台（http://www.jxcqgs.cn/jxcqcg/）—“不见面开标”，登录成功后，参与线上开标流程，完成在线解密。本项目解密时长为30分钟，如未在规定时间内完成解密的，责任由供应商自负。</w:t>
      </w:r>
    </w:p>
    <w:p w14:paraId="34CF6F56">
      <w:pPr>
        <w:pStyle w:val="6"/>
        <w:spacing w:before="0" w:beforeAutospacing="0" w:after="0" w:afterAutospacing="0" w:line="560" w:lineRule="exact"/>
        <w:ind w:firstLine="435"/>
        <w:jc w:val="both"/>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注：相关制作软件及操作手册请在嘉兴禾采联综合采购服务平台首页办事指南及下载中心自行下载。</w:t>
      </w:r>
    </w:p>
    <w:p w14:paraId="14EF1927">
      <w:pPr>
        <w:pStyle w:val="6"/>
        <w:spacing w:before="0" w:beforeAutospacing="0" w:after="0" w:afterAutospacing="0" w:line="560" w:lineRule="exact"/>
        <w:jc w:val="both"/>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八、投标保证金：</w:t>
      </w:r>
      <w:r>
        <w:rPr>
          <w:rFonts w:hint="eastAsia" w:ascii="微软雅黑" w:hAnsi="微软雅黑" w:eastAsia="微软雅黑" w:cs="微软雅黑"/>
          <w:sz w:val="21"/>
          <w:szCs w:val="21"/>
          <w:highlight w:val="none"/>
        </w:rPr>
        <w:t>本项目不设置</w:t>
      </w:r>
    </w:p>
    <w:p w14:paraId="33A497A7">
      <w:pPr>
        <w:pStyle w:val="6"/>
        <w:spacing w:before="0" w:beforeAutospacing="0" w:after="0" w:afterAutospacing="0" w:line="560" w:lineRule="exact"/>
        <w:jc w:val="both"/>
        <w:rPr>
          <w:rFonts w:hint="eastAsia" w:ascii="微软雅黑" w:hAnsi="微软雅黑" w:eastAsia="微软雅黑" w:cs="微软雅黑"/>
          <w:sz w:val="21"/>
          <w:szCs w:val="21"/>
          <w:highlight w:val="none"/>
        </w:rPr>
      </w:pPr>
      <w:r>
        <w:rPr>
          <w:rStyle w:val="11"/>
          <w:rFonts w:hint="eastAsia" w:ascii="微软雅黑" w:hAnsi="微软雅黑" w:eastAsia="微软雅黑" w:cs="微软雅黑"/>
          <w:sz w:val="21"/>
          <w:szCs w:val="21"/>
          <w:highlight w:val="none"/>
        </w:rPr>
        <w:t>九、投标注意事项</w:t>
      </w:r>
    </w:p>
    <w:p w14:paraId="4C5ABB22">
      <w:pPr>
        <w:pStyle w:val="6"/>
        <w:spacing w:before="0" w:beforeAutospacing="0" w:after="0" w:afterAutospacing="0" w:line="560" w:lineRule="exact"/>
        <w:ind w:firstLine="435"/>
        <w:jc w:val="both"/>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远程不见面开标：是指将传统的开标场所搬到网上，招标人、投标人只需登录网上不见面开标大厅（http://www.jxcqgs.cn/BidOpening/bidhall/default/login），无需到开标现场参与即可进行投标文件在线解密、投标人在线提问、招标人在线回复等操作。CA锁和嘉兴市公共资源交易系统通用。</w:t>
      </w:r>
    </w:p>
    <w:p w14:paraId="0FF1DCE2">
      <w:pPr>
        <w:pStyle w:val="6"/>
        <w:spacing w:before="0" w:beforeAutospacing="0" w:after="0" w:afterAutospacing="0" w:line="560" w:lineRule="exact"/>
        <w:jc w:val="both"/>
        <w:rPr>
          <w:rStyle w:val="11"/>
          <w:rFonts w:hint="eastAsia" w:ascii="微软雅黑" w:hAnsi="微软雅黑" w:eastAsia="微软雅黑" w:cs="微软雅黑"/>
          <w:sz w:val="21"/>
          <w:szCs w:val="21"/>
          <w:highlight w:val="none"/>
        </w:rPr>
      </w:pPr>
      <w:r>
        <w:rPr>
          <w:rStyle w:val="11"/>
          <w:rFonts w:hint="eastAsia" w:ascii="微软雅黑" w:hAnsi="微软雅黑" w:eastAsia="微软雅黑" w:cs="微软雅黑"/>
          <w:sz w:val="21"/>
          <w:szCs w:val="21"/>
          <w:highlight w:val="none"/>
          <w:lang w:val="en-US" w:eastAsia="zh-CN"/>
        </w:rPr>
        <w:t>十</w:t>
      </w:r>
      <w:r>
        <w:rPr>
          <w:rStyle w:val="11"/>
          <w:rFonts w:hint="eastAsia" w:ascii="微软雅黑" w:hAnsi="微软雅黑" w:eastAsia="微软雅黑" w:cs="微软雅黑"/>
          <w:sz w:val="21"/>
          <w:szCs w:val="21"/>
          <w:highlight w:val="none"/>
        </w:rPr>
        <w:t>、发布公告的媒介</w:t>
      </w:r>
    </w:p>
    <w:p w14:paraId="578B131B">
      <w:pPr>
        <w:pStyle w:val="6"/>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firstLine="420" w:firstLineChars="200"/>
        <w:jc w:val="left"/>
        <w:textAlignment w:val="auto"/>
        <w:rPr>
          <w:rStyle w:val="11"/>
          <w:rFonts w:hint="eastAsia" w:ascii="微软雅黑" w:hAnsi="微软雅黑" w:eastAsia="微软雅黑" w:cs="微软雅黑"/>
          <w:b w:val="0"/>
          <w:bCs w:val="0"/>
          <w:sz w:val="21"/>
          <w:szCs w:val="21"/>
          <w:highlight w:val="none"/>
        </w:rPr>
      </w:pPr>
      <w:r>
        <w:rPr>
          <w:rStyle w:val="11"/>
          <w:rFonts w:hint="eastAsia" w:ascii="微软雅黑" w:hAnsi="微软雅黑" w:eastAsia="微软雅黑" w:cs="微软雅黑"/>
          <w:b w:val="0"/>
          <w:bCs w:val="0"/>
          <w:sz w:val="21"/>
          <w:szCs w:val="21"/>
          <w:highlight w:val="none"/>
        </w:rPr>
        <w:t>本次招标公告将同时在嘉兴禾采联综合采购服务平台（http://www.jxcqgs.cn/jxcqcg/）和嘉兴市交通投资集团有限责任公司（http://www.jxjtjt.cn/）发布。</w:t>
      </w:r>
    </w:p>
    <w:p w14:paraId="74260745">
      <w:pPr>
        <w:pStyle w:val="6"/>
        <w:spacing w:before="0" w:beforeAutospacing="0" w:after="0" w:afterAutospacing="0" w:line="560" w:lineRule="exact"/>
        <w:jc w:val="both"/>
        <w:rPr>
          <w:rFonts w:hint="eastAsia" w:ascii="微软雅黑" w:hAnsi="微软雅黑" w:eastAsia="微软雅黑" w:cs="微软雅黑"/>
          <w:sz w:val="21"/>
          <w:szCs w:val="21"/>
          <w:highlight w:val="none"/>
        </w:rPr>
      </w:pPr>
      <w:r>
        <w:rPr>
          <w:rStyle w:val="11"/>
          <w:rFonts w:hint="eastAsia" w:ascii="微软雅黑" w:hAnsi="微软雅黑" w:eastAsia="微软雅黑" w:cs="微软雅黑"/>
          <w:sz w:val="21"/>
          <w:szCs w:val="21"/>
          <w:highlight w:val="none"/>
        </w:rPr>
        <w:t>十</w:t>
      </w:r>
      <w:r>
        <w:rPr>
          <w:rStyle w:val="11"/>
          <w:rFonts w:hint="eastAsia" w:ascii="微软雅黑" w:hAnsi="微软雅黑" w:eastAsia="微软雅黑" w:cs="微软雅黑"/>
          <w:sz w:val="21"/>
          <w:szCs w:val="21"/>
          <w:highlight w:val="none"/>
          <w:lang w:val="en-US" w:eastAsia="zh-CN"/>
        </w:rPr>
        <w:t>一</w:t>
      </w:r>
      <w:r>
        <w:rPr>
          <w:rStyle w:val="11"/>
          <w:rFonts w:hint="eastAsia" w:ascii="微软雅黑" w:hAnsi="微软雅黑" w:eastAsia="微软雅黑" w:cs="微软雅黑"/>
          <w:sz w:val="21"/>
          <w:szCs w:val="21"/>
          <w:highlight w:val="none"/>
        </w:rPr>
        <w:t>、采购人、采购代理机构的名称、地址和联系方式</w:t>
      </w:r>
    </w:p>
    <w:p w14:paraId="2EBFA35A">
      <w:pPr>
        <w:pStyle w:val="6"/>
        <w:numPr>
          <w:ilvl w:val="0"/>
          <w:numId w:val="3"/>
        </w:numPr>
        <w:tabs>
          <w:tab w:val="left" w:pos="420"/>
          <w:tab w:val="left" w:pos="640"/>
        </w:tabs>
        <w:spacing w:before="0" w:beforeAutospacing="0" w:after="0" w:afterAutospacing="0" w:line="560" w:lineRule="exact"/>
        <w:ind w:left="0" w:firstLine="438" w:firstLineChars="209"/>
        <w:jc w:val="both"/>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采购人：浙江卓驿商业管理有限公司</w:t>
      </w:r>
    </w:p>
    <w:p w14:paraId="4CE691A2">
      <w:pPr>
        <w:pStyle w:val="6"/>
        <w:tabs>
          <w:tab w:val="left" w:pos="420"/>
          <w:tab w:val="left" w:pos="640"/>
        </w:tabs>
        <w:spacing w:before="0" w:beforeAutospacing="0" w:after="0" w:afterAutospacing="0" w:line="560" w:lineRule="exact"/>
        <w:ind w:firstLine="438" w:firstLineChars="209"/>
        <w:jc w:val="both"/>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联系人：</w:t>
      </w:r>
      <w:r>
        <w:rPr>
          <w:rFonts w:hint="eastAsia" w:ascii="微软雅黑" w:hAnsi="微软雅黑" w:eastAsia="微软雅黑" w:cs="微软雅黑"/>
          <w:sz w:val="21"/>
          <w:szCs w:val="21"/>
          <w:highlight w:val="none"/>
          <w:lang w:val="en-US" w:eastAsia="zh-CN"/>
        </w:rPr>
        <w:t>钟女士</w:t>
      </w:r>
      <w:r>
        <w:rPr>
          <w:rFonts w:hint="eastAsia" w:ascii="微软雅黑" w:hAnsi="微软雅黑" w:eastAsia="微软雅黑" w:cs="微软雅黑"/>
          <w:sz w:val="21"/>
          <w:szCs w:val="21"/>
          <w:highlight w:val="none"/>
        </w:rPr>
        <w:t xml:space="preserve">         联系电话：</w:t>
      </w:r>
      <w:r>
        <w:rPr>
          <w:rFonts w:hint="eastAsia" w:ascii="微软雅黑" w:hAnsi="微软雅黑" w:eastAsia="微软雅黑" w:cs="微软雅黑"/>
          <w:sz w:val="21"/>
          <w:szCs w:val="21"/>
          <w:highlight w:val="none"/>
          <w:lang w:val="en-US" w:eastAsia="zh-CN"/>
        </w:rPr>
        <w:t>0573-</w:t>
      </w:r>
      <w:r>
        <w:rPr>
          <w:rFonts w:hint="eastAsia" w:ascii="微软雅黑" w:hAnsi="微软雅黑" w:eastAsia="微软雅黑" w:cs="微软雅黑"/>
          <w:sz w:val="21"/>
          <w:szCs w:val="21"/>
          <w:highlight w:val="none"/>
        </w:rPr>
        <w:t xml:space="preserve">83619629 </w:t>
      </w:r>
    </w:p>
    <w:p w14:paraId="6469F9A9">
      <w:pPr>
        <w:pStyle w:val="6"/>
        <w:numPr>
          <w:ilvl w:val="0"/>
          <w:numId w:val="3"/>
        </w:numPr>
        <w:tabs>
          <w:tab w:val="left" w:pos="420"/>
          <w:tab w:val="left" w:pos="640"/>
        </w:tabs>
        <w:spacing w:before="0" w:beforeAutospacing="0" w:after="0" w:afterAutospacing="0" w:line="560" w:lineRule="exact"/>
        <w:ind w:left="0" w:firstLine="438" w:firstLineChars="209"/>
        <w:jc w:val="both"/>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采购代理机构：嘉兴市千秋工程咨询有限公司</w:t>
      </w:r>
    </w:p>
    <w:p w14:paraId="75275FFF">
      <w:pPr>
        <w:pStyle w:val="6"/>
        <w:tabs>
          <w:tab w:val="left" w:pos="420"/>
          <w:tab w:val="left" w:pos="640"/>
        </w:tabs>
        <w:spacing w:before="0" w:beforeAutospacing="0" w:after="0" w:afterAutospacing="0" w:line="560" w:lineRule="exact"/>
        <w:ind w:firstLine="438" w:firstLineChars="209"/>
        <w:jc w:val="both"/>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联系人：章莉莉、李建良  联系电话：0573-83705015  13605735186     </w:t>
      </w:r>
    </w:p>
    <w:p w14:paraId="36A9C4F3">
      <w:pPr>
        <w:pStyle w:val="6"/>
        <w:numPr>
          <w:ilvl w:val="0"/>
          <w:numId w:val="3"/>
        </w:numPr>
        <w:tabs>
          <w:tab w:val="left" w:pos="420"/>
          <w:tab w:val="left" w:pos="640"/>
        </w:tabs>
        <w:spacing w:before="0" w:beforeAutospacing="0" w:after="0" w:afterAutospacing="0" w:line="560" w:lineRule="exact"/>
        <w:ind w:left="0" w:firstLine="438" w:firstLineChars="209"/>
        <w:jc w:val="both"/>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嘉兴禾采联综合采购服务平台联系电话：0573-82816090</w:t>
      </w:r>
    </w:p>
    <w:p w14:paraId="3368D609">
      <w:pPr>
        <w:spacing w:line="560" w:lineRule="exact"/>
        <w:ind w:firstLine="42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嘉兴禾采联综合采购服务平台技术支持电话：0573-82813680</w:t>
      </w:r>
      <w:bookmarkStart w:id="4" w:name="_GoBack"/>
      <w:bookmarkEnd w:id="4"/>
    </w:p>
    <w:p w14:paraId="75B1E444">
      <w:pPr>
        <w:snapToGrid w:val="0"/>
        <w:ind w:left="238"/>
        <w:jc w:val="right"/>
        <w:rPr>
          <w:rFonts w:hint="eastAsia" w:ascii="微软雅黑" w:hAnsi="微软雅黑" w:eastAsia="微软雅黑" w:cs="微软雅黑"/>
          <w:szCs w:val="21"/>
          <w:highlight w:val="none"/>
        </w:rPr>
      </w:pPr>
    </w:p>
    <w:p w14:paraId="448EF4A5">
      <w:pPr>
        <w:snapToGrid w:val="0"/>
        <w:ind w:left="238"/>
        <w:jc w:val="right"/>
        <w:rPr>
          <w:rFonts w:hint="eastAsia" w:ascii="微软雅黑" w:hAnsi="微软雅黑" w:eastAsia="微软雅黑" w:cs="微软雅黑"/>
          <w:szCs w:val="21"/>
          <w:highlight w:val="none"/>
        </w:rPr>
      </w:pPr>
    </w:p>
    <w:p w14:paraId="3B4C462B">
      <w:pPr>
        <w:snapToGrid w:val="0"/>
        <w:spacing w:line="360" w:lineRule="auto"/>
        <w:ind w:left="238"/>
        <w:jc w:val="right"/>
        <w:rPr>
          <w:rFonts w:hint="eastAsia" w:ascii="微软雅黑" w:hAnsi="微软雅黑" w:eastAsia="微软雅黑" w:cs="微软雅黑"/>
          <w:bCs/>
          <w:szCs w:val="21"/>
          <w:highlight w:val="none"/>
        </w:rPr>
      </w:pPr>
      <w:r>
        <w:rPr>
          <w:rFonts w:hint="eastAsia" w:ascii="微软雅黑" w:hAnsi="微软雅黑" w:eastAsia="微软雅黑" w:cs="微软雅黑"/>
          <w:szCs w:val="21"/>
          <w:highlight w:val="none"/>
        </w:rPr>
        <w:t>浙江卓驿商业管理有限公司</w:t>
      </w:r>
    </w:p>
    <w:p w14:paraId="782CAC7F">
      <w:pPr>
        <w:snapToGrid w:val="0"/>
        <w:spacing w:line="360" w:lineRule="auto"/>
        <w:ind w:left="238"/>
        <w:jc w:val="right"/>
        <w:rPr>
          <w:rFonts w:hint="eastAsia" w:ascii="微软雅黑" w:hAnsi="微软雅黑" w:eastAsia="微软雅黑" w:cs="微软雅黑"/>
          <w:szCs w:val="21"/>
          <w:highlight w:val="none"/>
        </w:rPr>
      </w:pPr>
      <w:r>
        <w:rPr>
          <w:rFonts w:hint="eastAsia" w:ascii="微软雅黑" w:hAnsi="微软雅黑" w:eastAsia="微软雅黑" w:cs="微软雅黑"/>
          <w:bCs/>
          <w:szCs w:val="21"/>
          <w:highlight w:val="none"/>
        </w:rPr>
        <w:t>嘉兴市千秋工程咨询有限公司</w:t>
      </w:r>
    </w:p>
    <w:p w14:paraId="209D73F0">
      <w:pPr>
        <w:wordWrap w:val="0"/>
        <w:spacing w:line="360" w:lineRule="auto"/>
        <w:ind w:right="-51"/>
        <w:jc w:val="right"/>
      </w:pPr>
      <w:r>
        <w:rPr>
          <w:rFonts w:hint="eastAsia" w:ascii="微软雅黑" w:hAnsi="微软雅黑" w:eastAsia="微软雅黑" w:cs="微软雅黑"/>
          <w:szCs w:val="21"/>
          <w:highlight w:val="none"/>
        </w:rPr>
        <w:t>2026年</w:t>
      </w:r>
      <w:r>
        <w:rPr>
          <w:rFonts w:hint="eastAsia" w:ascii="微软雅黑" w:hAnsi="微软雅黑" w:eastAsia="微软雅黑" w:cs="微软雅黑"/>
          <w:szCs w:val="21"/>
          <w:highlight w:val="none"/>
          <w:lang w:val="en-US" w:eastAsia="zh-CN"/>
        </w:rPr>
        <w:t>03</w:t>
      </w:r>
      <w:r>
        <w:rPr>
          <w:rFonts w:hint="eastAsia" w:ascii="微软雅黑" w:hAnsi="微软雅黑" w:eastAsia="微软雅黑" w:cs="微软雅黑"/>
          <w:szCs w:val="21"/>
          <w:highlight w:val="none"/>
        </w:rPr>
        <w:t>月</w:t>
      </w:r>
      <w:r>
        <w:rPr>
          <w:rFonts w:hint="eastAsia" w:ascii="微软雅黑" w:hAnsi="微软雅黑" w:eastAsia="微软雅黑" w:cs="微软雅黑"/>
          <w:szCs w:val="21"/>
          <w:highlight w:val="none"/>
          <w:lang w:val="en-US" w:eastAsia="zh-CN"/>
        </w:rPr>
        <w:t>31</w:t>
      </w:r>
      <w:r>
        <w:rPr>
          <w:rFonts w:hint="eastAsia" w:ascii="微软雅黑" w:hAnsi="微软雅黑" w:eastAsia="微软雅黑" w:cs="微软雅黑"/>
          <w:szCs w:val="21"/>
          <w:highlight w:val="none"/>
        </w:rPr>
        <w:t>日</w:t>
      </w:r>
      <w:bookmarkEnd w:id="2"/>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D3ECD">
    <w:pPr>
      <w:pStyle w:val="3"/>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77156"/>
                          </w:sdtPr>
                          <w:sdtContent>
                            <w:p w14:paraId="79BEB467">
                              <w:pPr>
                                <w:pStyle w:val="3"/>
                                <w:jc w:val="right"/>
                              </w:pPr>
                              <w:r>
                                <w:rPr>
                                  <w:lang w:val="zh-CN"/>
                                </w:rPr>
                                <w:fldChar w:fldCharType="begin"/>
                              </w:r>
                              <w:r>
                                <w:rPr>
                                  <w:lang w:val="zh-CN"/>
                                </w:rPr>
                                <w:instrText xml:space="preserve"> PAGE   \* MERGEFORMAT </w:instrText>
                              </w:r>
                              <w:r>
                                <w:rPr>
                                  <w:lang w:val="zh-CN"/>
                                </w:rPr>
                                <w:fldChar w:fldCharType="separate"/>
                              </w:r>
                              <w:r>
                                <w:rPr>
                                  <w:lang w:val="zh-CN"/>
                                </w:rPr>
                                <w:t>24</w:t>
                              </w:r>
                              <w:r>
                                <w:rPr>
                                  <w:lang w:val="zh-CN"/>
                                </w:rPr>
                                <w:fldChar w:fldCharType="end"/>
                              </w:r>
                            </w:p>
                          </w:sdtContent>
                        </w:sdt>
                        <w:p w14:paraId="241BBDD1"/>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dAbGsEBAACO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0s&#10;sz59gBrT7gMmpuGdHzB39gM6M+1BRZu/SIhgHNU9X9WVQyIiP1qv1usKQwJj8wXx2cPzECG9l96S&#10;bDQ04viKqvz0EdKYOqfkas7faWPKCI37x4GY2cNy72OP2UrDfpgI7X17Rj49Tr6hDhedEvPBobB5&#10;SWYjzsZ+MnINCLfHhIVLPxl1hJqK4ZgKo2ml8h48vpesh99o+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dAbGsEBAACOAwAADgAAAAAAAAABACAAAAAeAQAAZHJzL2Uyb0RvYy54bWxQSwUG&#10;AAAAAAYABgBZAQAAUQUAAAAA&#10;">
              <v:fill on="f" focussize="0,0"/>
              <v:stroke on="f"/>
              <v:imagedata o:title=""/>
              <o:lock v:ext="edit" aspectratio="f"/>
              <v:textbox inset="0mm,0mm,0mm,0mm" style="mso-fit-shape-to-text:t;">
                <w:txbxContent>
                  <w:sdt>
                    <w:sdtPr>
                      <w:id w:val="147477156"/>
                    </w:sdtPr>
                    <w:sdtContent>
                      <w:p w14:paraId="79BEB467">
                        <w:pPr>
                          <w:pStyle w:val="3"/>
                          <w:jc w:val="right"/>
                        </w:pPr>
                        <w:r>
                          <w:rPr>
                            <w:lang w:val="zh-CN"/>
                          </w:rPr>
                          <w:fldChar w:fldCharType="begin"/>
                        </w:r>
                        <w:r>
                          <w:rPr>
                            <w:lang w:val="zh-CN"/>
                          </w:rPr>
                          <w:instrText xml:space="preserve"> PAGE   \* MERGEFORMAT </w:instrText>
                        </w:r>
                        <w:r>
                          <w:rPr>
                            <w:lang w:val="zh-CN"/>
                          </w:rPr>
                          <w:fldChar w:fldCharType="separate"/>
                        </w:r>
                        <w:r>
                          <w:rPr>
                            <w:lang w:val="zh-CN"/>
                          </w:rPr>
                          <w:t>24</w:t>
                        </w:r>
                        <w:r>
                          <w:rPr>
                            <w:lang w:val="zh-CN"/>
                          </w:rPr>
                          <w:fldChar w:fldCharType="end"/>
                        </w:r>
                      </w:p>
                    </w:sdtContent>
                  </w:sdt>
                  <w:p w14:paraId="241BBDD1"/>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72C78">
    <w:pPr>
      <w:pStyle w:val="4"/>
      <w:pBdr>
        <w:bottom w:val="none" w:color="auto" w:sz="0" w:space="1"/>
      </w:pBdr>
      <w:jc w:val="right"/>
      <w:rPr>
        <w:rFonts w:hint="eastAsia" w:asciiTheme="minorEastAsia" w:hAnsiTheme="minorEastAsia" w:eastAsia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157F18"/>
    <w:multiLevelType w:val="multilevel"/>
    <w:tmpl w:val="20157F18"/>
    <w:lvl w:ilvl="0" w:tentative="0">
      <w:start w:val="1"/>
      <w:numFmt w:val="chineseCounting"/>
      <w:lvlText w:val="%1、"/>
      <w:lvlJc w:val="left"/>
      <w:pPr>
        <w:ind w:left="665" w:hanging="440"/>
      </w:pPr>
      <w:rPr>
        <w:rFonts w:hint="eastAsia"/>
      </w:rPr>
    </w:lvl>
    <w:lvl w:ilvl="1" w:tentative="0">
      <w:start w:val="1"/>
      <w:numFmt w:val="decimal"/>
      <w:lvlText w:val="%2."/>
      <w:lvlJc w:val="left"/>
      <w:pPr>
        <w:ind w:left="1025" w:hanging="360"/>
      </w:pPr>
      <w:rPr>
        <w:rFonts w:hint="default"/>
      </w:rPr>
    </w:lvl>
    <w:lvl w:ilvl="2" w:tentative="0">
      <w:start w:val="1"/>
      <w:numFmt w:val="lowerRoman"/>
      <w:lvlText w:val="%3."/>
      <w:lvlJc w:val="right"/>
      <w:pPr>
        <w:ind w:left="1545" w:hanging="440"/>
      </w:pPr>
    </w:lvl>
    <w:lvl w:ilvl="3" w:tentative="0">
      <w:start w:val="1"/>
      <w:numFmt w:val="decimal"/>
      <w:lvlText w:val="%4."/>
      <w:lvlJc w:val="left"/>
      <w:pPr>
        <w:ind w:left="1985" w:hanging="440"/>
      </w:pPr>
    </w:lvl>
    <w:lvl w:ilvl="4" w:tentative="0">
      <w:start w:val="1"/>
      <w:numFmt w:val="lowerLetter"/>
      <w:lvlText w:val="%5)"/>
      <w:lvlJc w:val="left"/>
      <w:pPr>
        <w:ind w:left="2425" w:hanging="440"/>
      </w:pPr>
    </w:lvl>
    <w:lvl w:ilvl="5" w:tentative="0">
      <w:start w:val="1"/>
      <w:numFmt w:val="lowerRoman"/>
      <w:lvlText w:val="%6."/>
      <w:lvlJc w:val="right"/>
      <w:pPr>
        <w:ind w:left="2865" w:hanging="440"/>
      </w:pPr>
    </w:lvl>
    <w:lvl w:ilvl="6" w:tentative="0">
      <w:start w:val="1"/>
      <w:numFmt w:val="decimal"/>
      <w:lvlText w:val="%7."/>
      <w:lvlJc w:val="left"/>
      <w:pPr>
        <w:ind w:left="3305" w:hanging="440"/>
      </w:pPr>
    </w:lvl>
    <w:lvl w:ilvl="7" w:tentative="0">
      <w:start w:val="1"/>
      <w:numFmt w:val="lowerLetter"/>
      <w:lvlText w:val="%8)"/>
      <w:lvlJc w:val="left"/>
      <w:pPr>
        <w:ind w:left="3745" w:hanging="440"/>
      </w:pPr>
    </w:lvl>
    <w:lvl w:ilvl="8" w:tentative="0">
      <w:start w:val="1"/>
      <w:numFmt w:val="lowerRoman"/>
      <w:lvlText w:val="%9."/>
      <w:lvlJc w:val="right"/>
      <w:pPr>
        <w:ind w:left="4185" w:hanging="440"/>
      </w:pPr>
    </w:lvl>
  </w:abstractNum>
  <w:abstractNum w:abstractNumId="1">
    <w:nsid w:val="6AFE5AD9"/>
    <w:multiLevelType w:val="multilevel"/>
    <w:tmpl w:val="6AFE5AD9"/>
    <w:lvl w:ilvl="0" w:tentative="0">
      <w:start w:val="1"/>
      <w:numFmt w:val="decimal"/>
      <w:lvlText w:val="%1."/>
      <w:lvlJc w:val="left"/>
      <w:pPr>
        <w:ind w:left="440" w:hanging="440"/>
      </w:pPr>
      <w:rPr>
        <w:rFonts w:hint="eastAsia"/>
      </w:rPr>
    </w:lvl>
    <w:lvl w:ilvl="1" w:tentative="0">
      <w:start w:val="1"/>
      <w:numFmt w:val="decimal"/>
      <w:lvlText w:val="%2."/>
      <w:lvlJc w:val="left"/>
      <w:pPr>
        <w:ind w:left="880" w:hanging="440"/>
      </w:pPr>
      <w:rPr>
        <w:rFonts w:hint="eastAsia"/>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6FF856F0"/>
    <w:multiLevelType w:val="multilevel"/>
    <w:tmpl w:val="6FF856F0"/>
    <w:lvl w:ilvl="0" w:tentative="0">
      <w:start w:val="1"/>
      <w:numFmt w:val="decimal"/>
      <w:lvlText w:val="%1."/>
      <w:lvlJc w:val="left"/>
      <w:pPr>
        <w:ind w:left="880" w:hanging="440"/>
      </w:pPr>
      <w:rPr>
        <w:rFonts w:hint="eastAsia"/>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F5A85"/>
    <w:rsid w:val="66F22498"/>
    <w:rsid w:val="73F21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 w:val="28"/>
    </w:rPr>
  </w:style>
  <w:style w:type="paragraph" w:styleId="3">
    <w:name w:val="footer"/>
    <w:basedOn w:val="1"/>
    <w:qFormat/>
    <w:uiPriority w:val="99"/>
    <w:pPr>
      <w:tabs>
        <w:tab w:val="center" w:pos="4153"/>
        <w:tab w:val="right" w:pos="8306"/>
      </w:tabs>
      <w:snapToGrid w:val="0"/>
      <w:jc w:val="left"/>
    </w:pPr>
    <w:rPr>
      <w:rFonts w:eastAsia="黑体"/>
      <w:snapToGrid w:val="0"/>
      <w:kern w:val="0"/>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rFonts w:eastAsia="仿宋_GB2312"/>
      <w:sz w:val="18"/>
      <w:szCs w:val="20"/>
    </w:rPr>
  </w:style>
  <w:style w:type="paragraph" w:styleId="5">
    <w:name w:val="toc 1"/>
    <w:basedOn w:val="1"/>
    <w:next w:val="1"/>
    <w:qFormat/>
    <w:uiPriority w:val="39"/>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7">
    <w:name w:val="Title"/>
    <w:basedOn w:val="1"/>
    <w:next w:val="1"/>
    <w:qFormat/>
    <w:uiPriority w:val="0"/>
    <w:pPr>
      <w:spacing w:before="240" w:after="60"/>
      <w:jc w:val="center"/>
      <w:outlineLvl w:val="0"/>
    </w:pPr>
    <w:rPr>
      <w:rFonts w:ascii="Cambria" w:hAnsi="Cambria" w:eastAsia="微软雅黑"/>
      <w:b/>
      <w:bCs/>
      <w:sz w:val="32"/>
      <w:szCs w:val="32"/>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1480</Words>
  <Characters>1773</Characters>
  <Lines>0</Lines>
  <Paragraphs>0</Paragraphs>
  <TotalTime>0</TotalTime>
  <ScaleCrop>false</ScaleCrop>
  <LinksUpToDate>false</LinksUpToDate>
  <CharactersWithSpaces>1792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2026-03-30T09:32:00Z</dcterms:created>
  <dc:creator>admin</dc:creator>
  <cp:lastModifiedBy>陈碧云</cp:lastModifiedBy>
  <dcterms:modified xsi:type="dcterms:W3CDTF">2026-03-31T07:19:49Z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eyJoZGlkIjoiNjVmZDBhMjMyYTZkOGRiMmRiOTQwMzBhN2JlYmY4YzMiLCJ1c2VySWQiOiI3MTgwNTc1NTMifQ==</vt:lpwstr>
  </property>
  <property fmtid="{D5CDD505-2E9C-101B-9397-08002B2CF9AE}" pid="4" name="ICV">
    <vt:lpwstr>46263D7A0EB0477BAA964330980D9295_12</vt:lpwstr>
  </property>
</Properties>
</file>